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pPr w:leftFromText="142" w:rightFromText="142" w:vertAnchor="page" w:horzAnchor="margin" w:tblpXSpec="center" w:tblpY="1441"/>
        <w:tblW w:w="15577" w:type="dxa"/>
        <w:tblLook w:val="04A0" w:firstRow="1" w:lastRow="0" w:firstColumn="1" w:lastColumn="0" w:noHBand="0" w:noVBand="1"/>
      </w:tblPr>
      <w:tblGrid>
        <w:gridCol w:w="602"/>
        <w:gridCol w:w="4785"/>
        <w:gridCol w:w="2659"/>
        <w:gridCol w:w="2570"/>
        <w:gridCol w:w="4961"/>
      </w:tblGrid>
      <w:tr w:rsidR="00053A1B" w:rsidRPr="00110215" w:rsidTr="003955AF">
        <w:trPr>
          <w:trHeight w:val="319"/>
        </w:trPr>
        <w:tc>
          <w:tcPr>
            <w:tcW w:w="602" w:type="dxa"/>
            <w:vMerge w:val="restart"/>
            <w:textDirection w:val="tbRlV"/>
          </w:tcPr>
          <w:p w:rsidR="00053A1B" w:rsidRPr="00053A1B" w:rsidRDefault="00053A1B" w:rsidP="003955AF">
            <w:pPr>
              <w:spacing w:line="380" w:lineRule="exact"/>
              <w:ind w:left="113" w:right="113"/>
              <w:jc w:val="center"/>
              <w:rPr>
                <w:rFonts w:ascii="メイリオ" w:eastAsia="メイリオ" w:hAnsi="メイリオ" w:cs="メイリオ"/>
                <w:b/>
                <w:sz w:val="22"/>
              </w:rPr>
            </w:pPr>
            <w:r>
              <w:rPr>
                <w:rFonts w:ascii="メイリオ" w:eastAsia="メイリオ" w:hAnsi="メイリオ" w:cs="メイリオ" w:hint="eastAsia"/>
                <w:b/>
                <w:sz w:val="22"/>
              </w:rPr>
              <w:t xml:space="preserve">１　</w:t>
            </w:r>
            <w:r w:rsidRPr="00053A1B">
              <w:rPr>
                <w:rFonts w:ascii="メイリオ" w:eastAsia="メイリオ" w:hAnsi="メイリオ" w:cs="メイリオ" w:hint="eastAsia"/>
                <w:b/>
                <w:sz w:val="22"/>
              </w:rPr>
              <w:t>教育内容・方法</w:t>
            </w:r>
          </w:p>
        </w:tc>
        <w:tc>
          <w:tcPr>
            <w:tcW w:w="14975" w:type="dxa"/>
            <w:gridSpan w:val="4"/>
          </w:tcPr>
          <w:p w:rsidR="00053A1B" w:rsidRPr="0057173F" w:rsidRDefault="00053A1B" w:rsidP="003955AF">
            <w:pPr>
              <w:spacing w:line="300" w:lineRule="exact"/>
              <w:jc w:val="left"/>
              <w:rPr>
                <w:rFonts w:ascii="メイリオ" w:eastAsia="メイリオ" w:hAnsi="メイリオ" w:cs="メイリオ"/>
                <w:b/>
                <w:sz w:val="28"/>
                <w:szCs w:val="28"/>
              </w:rPr>
            </w:pPr>
            <w:r w:rsidRPr="00A86F24">
              <w:rPr>
                <w:rFonts w:ascii="メイリオ" w:eastAsia="メイリオ" w:hAnsi="メイリオ" w:cs="メイリオ" w:hint="eastAsia"/>
                <w:sz w:val="22"/>
              </w:rPr>
              <w:t>＜（１）―１教育内容＞</w:t>
            </w:r>
            <w:r w:rsidR="003955AF">
              <w:rPr>
                <w:rFonts w:ascii="メイリオ" w:eastAsia="メイリオ" w:hAnsi="メイリオ" w:cs="メイリオ" w:hint="eastAsia"/>
                <w:sz w:val="22"/>
              </w:rPr>
              <w:t>＊</w:t>
            </w:r>
            <w:r w:rsidRPr="00A86F24">
              <w:rPr>
                <w:rFonts w:ascii="メイリオ" w:eastAsia="メイリオ" w:hAnsi="メイリオ" w:cs="メイリオ" w:hint="eastAsia"/>
                <w:sz w:val="22"/>
              </w:rPr>
              <w:t>①どういった配慮があると十分に学習等を受けることができるのか考えたり、②</w:t>
            </w:r>
            <w:r w:rsidR="003955AF">
              <w:rPr>
                <w:rFonts w:ascii="メイリオ" w:eastAsia="メイリオ" w:hAnsi="メイリオ" w:cs="メイリオ" w:hint="eastAsia"/>
                <w:sz w:val="22"/>
              </w:rPr>
              <w:t>学習内容について考え</w:t>
            </w:r>
            <w:r w:rsidR="00E25D36">
              <w:rPr>
                <w:rFonts w:ascii="メイリオ" w:eastAsia="メイリオ" w:hAnsi="メイリオ" w:cs="メイリオ" w:hint="eastAsia"/>
                <w:sz w:val="22"/>
              </w:rPr>
              <w:t>たりし</w:t>
            </w:r>
            <w:r w:rsidR="003955AF">
              <w:rPr>
                <w:rFonts w:ascii="メイリオ" w:eastAsia="メイリオ" w:hAnsi="メイリオ" w:cs="メイリオ" w:hint="eastAsia"/>
                <w:sz w:val="22"/>
              </w:rPr>
              <w:t>、検討</w:t>
            </w:r>
            <w:r w:rsidR="00146D9C">
              <w:rPr>
                <w:rFonts w:ascii="メイリオ" w:eastAsia="メイリオ" w:hAnsi="メイリオ" w:cs="メイリオ" w:hint="eastAsia"/>
                <w:sz w:val="22"/>
              </w:rPr>
              <w:t>する。</w:t>
            </w:r>
          </w:p>
        </w:tc>
      </w:tr>
      <w:tr w:rsidR="00053A1B" w:rsidRPr="00110215" w:rsidTr="00375534">
        <w:trPr>
          <w:trHeight w:val="1640"/>
        </w:trPr>
        <w:tc>
          <w:tcPr>
            <w:tcW w:w="602" w:type="dxa"/>
            <w:vMerge/>
          </w:tcPr>
          <w:p w:rsidR="00053A1B" w:rsidRPr="00A86F24" w:rsidRDefault="00053A1B" w:rsidP="003955AF">
            <w:pPr>
              <w:spacing w:line="300" w:lineRule="exact"/>
              <w:jc w:val="center"/>
              <w:rPr>
                <w:rFonts w:ascii="メイリオ" w:eastAsia="メイリオ" w:hAnsi="メイリオ" w:cs="メイリオ"/>
                <w:sz w:val="22"/>
              </w:rPr>
            </w:pPr>
          </w:p>
        </w:tc>
        <w:tc>
          <w:tcPr>
            <w:tcW w:w="7444" w:type="dxa"/>
            <w:gridSpan w:val="2"/>
          </w:tcPr>
          <w:p w:rsidR="00053A1B" w:rsidRPr="00A86F24" w:rsidRDefault="003955AF" w:rsidP="003955AF">
            <w:pPr>
              <w:spacing w:line="300" w:lineRule="exact"/>
              <w:jc w:val="left"/>
              <w:rPr>
                <w:rFonts w:ascii="メイリオ" w:eastAsia="メイリオ" w:hAnsi="メイリオ" w:cs="メイリオ"/>
                <w:sz w:val="22"/>
              </w:rPr>
            </w:pPr>
            <w:r>
              <w:rPr>
                <w:rFonts w:hint="eastAsia"/>
                <w:noProof/>
                <w:sz w:val="48"/>
                <w:szCs w:val="48"/>
              </w:rPr>
              <mc:AlternateContent>
                <mc:Choice Requires="wps">
                  <w:drawing>
                    <wp:anchor distT="0" distB="0" distL="114300" distR="114300" simplePos="0" relativeHeight="251659264" behindDoc="0" locked="0" layoutInCell="1" allowOverlap="1" wp14:anchorId="4B02C592" wp14:editId="446246EF">
                      <wp:simplePos x="0" y="0"/>
                      <wp:positionH relativeFrom="column">
                        <wp:posOffset>-478790</wp:posOffset>
                      </wp:positionH>
                      <wp:positionV relativeFrom="paragraph">
                        <wp:posOffset>-710565</wp:posOffset>
                      </wp:positionV>
                      <wp:extent cx="9906000" cy="381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9906000" cy="381000"/>
                              </a:xfrm>
                              <a:prstGeom prst="rect">
                                <a:avLst/>
                              </a:prstGeom>
                              <a:solidFill>
                                <a:srgbClr val="CCFFCC"/>
                              </a:solidFill>
                              <a:ln w="6350">
                                <a:solidFill>
                                  <a:prstClr val="black"/>
                                </a:solidFill>
                              </a:ln>
                              <a:effectLst/>
                            </wps:spPr>
                            <wps:txbx>
                              <w:txbxContent>
                                <w:p w:rsidR="003955AF" w:rsidRPr="00334A1C" w:rsidRDefault="003955AF" w:rsidP="003955AF">
                                  <w:pPr>
                                    <w:spacing w:line="500" w:lineRule="exact"/>
                                    <w:jc w:val="center"/>
                                    <w:rPr>
                                      <w:rFonts w:ascii="メイリオ" w:eastAsia="メイリオ" w:hAnsi="メイリオ" w:cs="メイリオ"/>
                                      <w:color w:val="000000" w:themeColor="text1"/>
                                      <w:sz w:val="36"/>
                                      <w:szCs w:val="36"/>
                                    </w:rPr>
                                  </w:pPr>
                                  <w:r>
                                    <w:rPr>
                                      <w:rFonts w:ascii="メイリオ" w:eastAsia="メイリオ" w:hAnsi="メイリオ" w:cs="メイリオ" w:hint="eastAsia"/>
                                      <w:color w:val="000000" w:themeColor="text1"/>
                                      <w:sz w:val="36"/>
                                      <w:szCs w:val="36"/>
                                    </w:rPr>
                                    <w:t>☆３観点11</w:t>
                                  </w:r>
                                  <w:r w:rsidR="005E6DA1">
                                    <w:rPr>
                                      <w:rFonts w:ascii="メイリオ" w:eastAsia="メイリオ" w:hAnsi="メイリオ" w:cs="メイリオ" w:hint="eastAsia"/>
                                      <w:color w:val="000000" w:themeColor="text1"/>
                                      <w:sz w:val="36"/>
                                      <w:szCs w:val="36"/>
                                    </w:rPr>
                                    <w:t>項目　懇談メモ</w:t>
                                  </w:r>
                                  <w:r w:rsidR="005D1BDA">
                                    <w:rPr>
                                      <w:rFonts w:ascii="メイリオ" w:eastAsia="メイリオ" w:hAnsi="メイリオ" w:cs="メイリオ" w:hint="eastAsia"/>
                                      <w:color w:val="000000" w:themeColor="text1"/>
                                      <w:sz w:val="36"/>
                                      <w:szCs w:val="36"/>
                                    </w:rPr>
                                    <w:t>（横版）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2C592" id="_x0000_t202" coordsize="21600,21600" o:spt="202" path="m,l,21600r21600,l21600,xe">
                      <v:stroke joinstyle="miter"/>
                      <v:path gradientshapeok="t" o:connecttype="rect"/>
                    </v:shapetype>
                    <v:shape id="テキスト ボックス 5" o:spid="_x0000_s1026" type="#_x0000_t202" style="position:absolute;margin-left:-37.7pt;margin-top:-55.95pt;width:78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" fillcolor="#cfc" strokeweight=".5pt">
                      <v:textbox>
                        <w:txbxContent>
                          <w:p w:rsidR="003955AF" w:rsidRPr="00334A1C" w:rsidRDefault="003955AF" w:rsidP="003955AF">
                            <w:pPr>
                              <w:spacing w:line="500" w:lineRule="exact"/>
                              <w:jc w:val="center"/>
                              <w:rPr>
                                <w:rFonts w:ascii="メイリオ" w:eastAsia="メイリオ" w:hAnsi="メイリオ" w:cs="メイリオ"/>
                                <w:color w:val="000000" w:themeColor="text1"/>
                                <w:sz w:val="36"/>
                                <w:szCs w:val="36"/>
                              </w:rPr>
                            </w:pPr>
                            <w:r>
                              <w:rPr>
                                <w:rFonts w:ascii="メイリオ" w:eastAsia="メイリオ" w:hAnsi="メイリオ" w:cs="メイリオ" w:hint="eastAsia"/>
                                <w:color w:val="000000" w:themeColor="text1"/>
                                <w:sz w:val="36"/>
                                <w:szCs w:val="36"/>
                              </w:rPr>
                              <w:t>☆３観点11</w:t>
                            </w:r>
                            <w:r w:rsidR="005E6DA1">
                              <w:rPr>
                                <w:rFonts w:ascii="メイリオ" w:eastAsia="メイリオ" w:hAnsi="メイリオ" w:cs="メイリオ" w:hint="eastAsia"/>
                                <w:color w:val="000000" w:themeColor="text1"/>
                                <w:sz w:val="36"/>
                                <w:szCs w:val="36"/>
                              </w:rPr>
                              <w:t>項目　懇談メモ</w:t>
                            </w:r>
                            <w:r w:rsidR="005D1BDA">
                              <w:rPr>
                                <w:rFonts w:ascii="メイリオ" w:eastAsia="メイリオ" w:hAnsi="メイリオ" w:cs="メイリオ" w:hint="eastAsia"/>
                                <w:color w:val="000000" w:themeColor="text1"/>
                                <w:sz w:val="36"/>
                                <w:szCs w:val="36"/>
                              </w:rPr>
                              <w:t>（横版）</w:t>
                            </w:r>
                          </w:p>
                        </w:txbxContent>
                      </v:textbox>
                    </v:shape>
                  </w:pict>
                </mc:Fallback>
              </mc:AlternateContent>
            </w:r>
            <w:r w:rsidR="00053A1B" w:rsidRPr="00A86F24">
              <w:rPr>
                <w:rFonts w:ascii="メイリオ" w:eastAsia="メイリオ" w:hAnsi="メイリオ" w:cs="メイリオ" w:hint="eastAsia"/>
                <w:sz w:val="22"/>
              </w:rPr>
              <w:t>①（１）－１－１　学習上又は生活上の困難を改善・克服するための配慮</w:t>
            </w:r>
          </w:p>
        </w:tc>
        <w:tc>
          <w:tcPr>
            <w:tcW w:w="7531" w:type="dxa"/>
            <w:gridSpan w:val="2"/>
          </w:tcPr>
          <w:p w:rsidR="00053A1B" w:rsidRPr="00A86F24" w:rsidRDefault="00053A1B" w:rsidP="003955AF">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②（１）―１―２　学習内容の変更・調整</w:t>
            </w:r>
          </w:p>
          <w:p w:rsidR="00053A1B" w:rsidRPr="00D61393" w:rsidRDefault="00053A1B" w:rsidP="003955AF">
            <w:pPr>
              <w:spacing w:line="300" w:lineRule="exact"/>
              <w:jc w:val="left"/>
              <w:rPr>
                <w:rFonts w:ascii="メイリオ" w:eastAsia="メイリオ" w:hAnsi="メイリオ" w:cs="メイリオ"/>
                <w:sz w:val="22"/>
              </w:rPr>
            </w:pPr>
          </w:p>
        </w:tc>
      </w:tr>
      <w:tr w:rsidR="00053A1B" w:rsidRPr="00110215" w:rsidTr="003955AF">
        <w:trPr>
          <w:trHeight w:val="575"/>
        </w:trPr>
        <w:tc>
          <w:tcPr>
            <w:tcW w:w="602" w:type="dxa"/>
            <w:vMerge/>
          </w:tcPr>
          <w:p w:rsidR="00053A1B" w:rsidRPr="00A86F24" w:rsidRDefault="00053A1B" w:rsidP="003955AF">
            <w:pPr>
              <w:spacing w:line="300" w:lineRule="exact"/>
              <w:jc w:val="center"/>
              <w:rPr>
                <w:rFonts w:ascii="メイリオ" w:eastAsia="メイリオ" w:hAnsi="メイリオ" w:cs="メイリオ"/>
                <w:sz w:val="22"/>
              </w:rPr>
            </w:pPr>
          </w:p>
        </w:tc>
        <w:tc>
          <w:tcPr>
            <w:tcW w:w="14975" w:type="dxa"/>
            <w:gridSpan w:val="4"/>
          </w:tcPr>
          <w:p w:rsidR="00053A1B" w:rsidRPr="00D61393" w:rsidRDefault="00053A1B" w:rsidP="003955AF">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＜（１）―２教育方法＞</w:t>
            </w:r>
            <w:r w:rsidR="003955AF">
              <w:rPr>
                <w:rFonts w:ascii="メイリオ" w:eastAsia="メイリオ" w:hAnsi="メイリオ" w:cs="メイリオ" w:hint="eastAsia"/>
                <w:sz w:val="22"/>
              </w:rPr>
              <w:t>＊</w:t>
            </w:r>
            <w:r w:rsidRPr="00A86F24">
              <w:rPr>
                <w:rFonts w:ascii="メイリオ" w:eastAsia="メイリオ" w:hAnsi="メイリオ" w:cs="メイリオ" w:hint="eastAsia"/>
                <w:sz w:val="22"/>
              </w:rPr>
              <w:t>どういった配慮があると、③情報が伝わりやすいのか、</w:t>
            </w:r>
            <w:r w:rsidR="003955AF">
              <w:rPr>
                <w:rFonts w:ascii="メイリオ" w:eastAsia="メイリオ" w:hAnsi="メイリオ" w:cs="メイリオ" w:hint="eastAsia"/>
                <w:sz w:val="22"/>
              </w:rPr>
              <w:t>教材が扱いやすいのか</w:t>
            </w:r>
            <w:r w:rsidRPr="00A86F24">
              <w:rPr>
                <w:rFonts w:ascii="メイリオ" w:eastAsia="メイリオ" w:hAnsi="メイリオ" w:cs="メイリオ" w:hint="eastAsia"/>
                <w:sz w:val="22"/>
              </w:rPr>
              <w:t>、④障がい特性から、学習機会をどう設定するのか、⑤心理面等に対して、どのような配慮が必要かを考え</w:t>
            </w:r>
            <w:r w:rsidR="003955AF">
              <w:rPr>
                <w:rFonts w:ascii="メイリオ" w:eastAsia="メイリオ" w:hAnsi="メイリオ" w:cs="メイリオ" w:hint="eastAsia"/>
                <w:sz w:val="22"/>
              </w:rPr>
              <w:t>、検討</w:t>
            </w:r>
            <w:r w:rsidR="00146D9C">
              <w:rPr>
                <w:rFonts w:ascii="メイリオ" w:eastAsia="メイリオ" w:hAnsi="メイリオ" w:cs="メイリオ" w:hint="eastAsia"/>
                <w:sz w:val="22"/>
              </w:rPr>
              <w:t>する。</w:t>
            </w:r>
          </w:p>
        </w:tc>
      </w:tr>
      <w:tr w:rsidR="00053A1B" w:rsidRPr="00110215" w:rsidTr="00E25D36">
        <w:trPr>
          <w:trHeight w:val="1676"/>
        </w:trPr>
        <w:tc>
          <w:tcPr>
            <w:tcW w:w="602" w:type="dxa"/>
            <w:vMerge/>
          </w:tcPr>
          <w:p w:rsidR="00053A1B" w:rsidRPr="00A86F24" w:rsidRDefault="00053A1B" w:rsidP="003955AF">
            <w:pPr>
              <w:spacing w:line="300" w:lineRule="exact"/>
              <w:jc w:val="center"/>
              <w:rPr>
                <w:rFonts w:ascii="メイリオ" w:eastAsia="メイリオ" w:hAnsi="メイリオ" w:cs="メイリオ"/>
                <w:sz w:val="22"/>
              </w:rPr>
            </w:pPr>
          </w:p>
        </w:tc>
        <w:tc>
          <w:tcPr>
            <w:tcW w:w="4785" w:type="dxa"/>
          </w:tcPr>
          <w:p w:rsidR="00053A1B" w:rsidRPr="00A86F24" w:rsidRDefault="00053A1B" w:rsidP="003955AF">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③（１）―２―１　情報・コミュニケーション及び教材の配慮</w:t>
            </w:r>
          </w:p>
        </w:tc>
        <w:tc>
          <w:tcPr>
            <w:tcW w:w="5229" w:type="dxa"/>
            <w:gridSpan w:val="2"/>
          </w:tcPr>
          <w:p w:rsidR="00053A1B" w:rsidRPr="00A86F24" w:rsidRDefault="00053A1B" w:rsidP="003955AF">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④（１）―２－２　学習機会や体験の確保</w:t>
            </w:r>
          </w:p>
        </w:tc>
        <w:tc>
          <w:tcPr>
            <w:tcW w:w="4961" w:type="dxa"/>
          </w:tcPr>
          <w:p w:rsidR="00053A1B" w:rsidRPr="00A86F24" w:rsidRDefault="00053A1B" w:rsidP="003955AF">
            <w:pPr>
              <w:spacing w:line="300" w:lineRule="exact"/>
              <w:jc w:val="left"/>
              <w:rPr>
                <w:rFonts w:ascii="メイリオ" w:eastAsia="メイリオ" w:hAnsi="メイリオ" w:cs="メイリオ"/>
                <w:sz w:val="22"/>
              </w:rPr>
            </w:pPr>
            <w:r w:rsidRPr="00A86F24">
              <w:rPr>
                <w:rFonts w:ascii="メイリオ" w:eastAsia="メイリオ" w:hAnsi="メイリオ" w:cs="メイリオ" w:hint="eastAsia"/>
                <w:sz w:val="22"/>
              </w:rPr>
              <w:t>⑤（１）―２―３　心理面・健康面の配慮</w:t>
            </w:r>
          </w:p>
          <w:p w:rsidR="00053A1B" w:rsidRPr="00D61393" w:rsidRDefault="00053A1B" w:rsidP="003955AF">
            <w:pPr>
              <w:spacing w:line="300" w:lineRule="exact"/>
              <w:jc w:val="left"/>
              <w:rPr>
                <w:rFonts w:ascii="メイリオ" w:eastAsia="メイリオ" w:hAnsi="メイリオ" w:cs="メイリオ"/>
                <w:sz w:val="22"/>
              </w:rPr>
            </w:pPr>
          </w:p>
        </w:tc>
      </w:tr>
      <w:tr w:rsidR="00053A1B" w:rsidTr="003955AF">
        <w:trPr>
          <w:trHeight w:val="243"/>
        </w:trPr>
        <w:tc>
          <w:tcPr>
            <w:tcW w:w="602" w:type="dxa"/>
            <w:vMerge w:val="restart"/>
            <w:textDirection w:val="tbRlV"/>
          </w:tcPr>
          <w:p w:rsidR="00053A1B" w:rsidRPr="00053A1B" w:rsidRDefault="00053A1B" w:rsidP="003955AF">
            <w:pPr>
              <w:spacing w:line="380" w:lineRule="exact"/>
              <w:ind w:left="113" w:right="113"/>
              <w:jc w:val="center"/>
              <w:rPr>
                <w:rFonts w:ascii="メイリオ" w:eastAsia="メイリオ" w:hAnsi="メイリオ" w:cs="メイリオ"/>
                <w:b/>
                <w:sz w:val="22"/>
              </w:rPr>
            </w:pPr>
            <w:r>
              <w:rPr>
                <w:rFonts w:ascii="メイリオ" w:eastAsia="メイリオ" w:hAnsi="メイリオ" w:cs="メイリオ" w:hint="eastAsia"/>
                <w:b/>
                <w:sz w:val="22"/>
              </w:rPr>
              <w:t xml:space="preserve">２　</w:t>
            </w:r>
            <w:r w:rsidRPr="00053A1B">
              <w:rPr>
                <w:rFonts w:ascii="メイリオ" w:eastAsia="メイリオ" w:hAnsi="メイリオ" w:cs="メイリオ" w:hint="eastAsia"/>
                <w:b/>
                <w:sz w:val="22"/>
              </w:rPr>
              <w:t>支援体制</w:t>
            </w:r>
          </w:p>
        </w:tc>
        <w:tc>
          <w:tcPr>
            <w:tcW w:w="14975" w:type="dxa"/>
            <w:gridSpan w:val="4"/>
          </w:tcPr>
          <w:p w:rsidR="00053A1B" w:rsidRPr="0057173F" w:rsidRDefault="00053A1B" w:rsidP="003955AF">
            <w:pPr>
              <w:spacing w:line="300" w:lineRule="exact"/>
              <w:jc w:val="left"/>
              <w:rPr>
                <w:rFonts w:ascii="メイリオ" w:eastAsia="メイリオ" w:hAnsi="メイリオ" w:cs="メイリオ"/>
                <w:b/>
                <w:sz w:val="28"/>
                <w:szCs w:val="28"/>
              </w:rPr>
            </w:pPr>
            <w:r>
              <w:rPr>
                <w:rFonts w:ascii="メイリオ" w:eastAsia="メイリオ" w:hAnsi="メイリオ" w:cs="メイリオ" w:hint="eastAsia"/>
                <w:sz w:val="22"/>
              </w:rPr>
              <w:t>＊⑥どういった指導体制が必要</w:t>
            </w:r>
            <w:r w:rsidR="00146D9C">
              <w:rPr>
                <w:rFonts w:ascii="メイリオ" w:eastAsia="メイリオ" w:hAnsi="メイリオ" w:cs="メイリオ" w:hint="eastAsia"/>
                <w:sz w:val="22"/>
              </w:rPr>
              <w:t>か、⑦周囲への理解はどうしたらよいか、⑧災害時</w:t>
            </w:r>
            <w:r w:rsidR="00E25D36">
              <w:rPr>
                <w:rFonts w:ascii="メイリオ" w:eastAsia="メイリオ" w:hAnsi="メイリオ" w:cs="メイリオ" w:hint="eastAsia"/>
                <w:sz w:val="22"/>
              </w:rPr>
              <w:t>等</w:t>
            </w:r>
            <w:r w:rsidR="00146D9C">
              <w:rPr>
                <w:rFonts w:ascii="メイリオ" w:eastAsia="メイリオ" w:hAnsi="メイリオ" w:cs="メイリオ" w:hint="eastAsia"/>
                <w:sz w:val="22"/>
              </w:rPr>
              <w:t>における支援体制を</w:t>
            </w:r>
            <w:r w:rsidR="003955AF">
              <w:rPr>
                <w:rFonts w:ascii="メイリオ" w:eastAsia="メイリオ" w:hAnsi="メイリオ" w:cs="メイリオ" w:hint="eastAsia"/>
                <w:sz w:val="22"/>
              </w:rPr>
              <w:t>検討</w:t>
            </w:r>
            <w:r w:rsidR="00146D9C">
              <w:rPr>
                <w:rFonts w:ascii="メイリオ" w:eastAsia="メイリオ" w:hAnsi="メイリオ" w:cs="メイリオ" w:hint="eastAsia"/>
                <w:sz w:val="22"/>
              </w:rPr>
              <w:t>する。</w:t>
            </w:r>
          </w:p>
        </w:tc>
      </w:tr>
      <w:tr w:rsidR="00053A1B" w:rsidTr="00E25D36">
        <w:trPr>
          <w:trHeight w:val="1778"/>
        </w:trPr>
        <w:tc>
          <w:tcPr>
            <w:tcW w:w="602" w:type="dxa"/>
            <w:vMerge/>
          </w:tcPr>
          <w:p w:rsidR="00053A1B" w:rsidRDefault="00053A1B" w:rsidP="003955AF">
            <w:pPr>
              <w:spacing w:line="300" w:lineRule="exact"/>
              <w:jc w:val="center"/>
              <w:rPr>
                <w:rFonts w:ascii="メイリオ" w:eastAsia="メイリオ" w:hAnsi="メイリオ" w:cs="メイリオ"/>
                <w:sz w:val="24"/>
                <w:szCs w:val="24"/>
              </w:rPr>
            </w:pPr>
          </w:p>
        </w:tc>
        <w:tc>
          <w:tcPr>
            <w:tcW w:w="4785" w:type="dxa"/>
          </w:tcPr>
          <w:p w:rsidR="00053A1B" w:rsidRPr="00FB4648" w:rsidRDefault="00053A1B" w:rsidP="003955AF">
            <w:pPr>
              <w:spacing w:line="300" w:lineRule="exact"/>
              <w:jc w:val="left"/>
              <w:rPr>
                <w:rFonts w:ascii="メイリオ" w:eastAsia="メイリオ" w:hAnsi="メイリオ" w:cs="メイリオ"/>
                <w:sz w:val="22"/>
                <w:szCs w:val="24"/>
              </w:rPr>
            </w:pPr>
            <w:r w:rsidRPr="00FB4648">
              <w:rPr>
                <w:rFonts w:ascii="メイリオ" w:eastAsia="メイリオ" w:hAnsi="メイリオ" w:cs="メイリオ" w:hint="eastAsia"/>
                <w:sz w:val="22"/>
                <w:szCs w:val="24"/>
              </w:rPr>
              <w:t>⑥（２）―１　専門性のある指導体制の整備</w:t>
            </w:r>
          </w:p>
          <w:p w:rsidR="00053A1B" w:rsidRDefault="00053A1B" w:rsidP="003955AF">
            <w:pPr>
              <w:spacing w:line="300" w:lineRule="exact"/>
              <w:jc w:val="left"/>
              <w:rPr>
                <w:rFonts w:ascii="メイリオ" w:eastAsia="メイリオ" w:hAnsi="メイリオ" w:cs="メイリオ"/>
                <w:sz w:val="24"/>
                <w:szCs w:val="24"/>
              </w:rPr>
            </w:pPr>
          </w:p>
        </w:tc>
        <w:tc>
          <w:tcPr>
            <w:tcW w:w="5229" w:type="dxa"/>
            <w:gridSpan w:val="2"/>
          </w:tcPr>
          <w:p w:rsidR="00053A1B" w:rsidRDefault="00053A1B" w:rsidP="003955AF">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⑦（２）―２　幼児児童生徒、教職員、保護者、地域の理解啓発を図るための配慮</w:t>
            </w:r>
          </w:p>
        </w:tc>
        <w:tc>
          <w:tcPr>
            <w:tcW w:w="4961" w:type="dxa"/>
          </w:tcPr>
          <w:p w:rsidR="00053A1B" w:rsidRPr="00D61393" w:rsidRDefault="00053A1B" w:rsidP="003955AF">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⑧（２）―３　災害時等の支援体制の整備</w:t>
            </w:r>
          </w:p>
        </w:tc>
      </w:tr>
      <w:tr w:rsidR="00053A1B" w:rsidTr="003955AF">
        <w:trPr>
          <w:trHeight w:val="304"/>
        </w:trPr>
        <w:tc>
          <w:tcPr>
            <w:tcW w:w="602" w:type="dxa"/>
            <w:vMerge w:val="restart"/>
            <w:textDirection w:val="tbRlV"/>
          </w:tcPr>
          <w:p w:rsidR="00053A1B" w:rsidRPr="0057173F" w:rsidRDefault="00053A1B" w:rsidP="003955AF">
            <w:pPr>
              <w:spacing w:line="380" w:lineRule="exact"/>
              <w:ind w:left="113" w:right="113"/>
              <w:jc w:val="center"/>
              <w:rPr>
                <w:rFonts w:ascii="メイリオ" w:eastAsia="メイリオ" w:hAnsi="メイリオ" w:cs="メイリオ"/>
                <w:b/>
                <w:sz w:val="28"/>
                <w:szCs w:val="28"/>
              </w:rPr>
            </w:pPr>
            <w:r>
              <w:rPr>
                <w:rFonts w:ascii="メイリオ" w:eastAsia="メイリオ" w:hAnsi="メイリオ" w:cs="メイリオ" w:hint="eastAsia"/>
                <w:b/>
                <w:sz w:val="22"/>
              </w:rPr>
              <w:t xml:space="preserve">３　</w:t>
            </w:r>
            <w:r w:rsidRPr="00053A1B">
              <w:rPr>
                <w:rFonts w:ascii="メイリオ" w:eastAsia="メイリオ" w:hAnsi="メイリオ" w:cs="メイリオ" w:hint="eastAsia"/>
                <w:b/>
                <w:sz w:val="22"/>
              </w:rPr>
              <w:t>施設・設</w:t>
            </w:r>
            <w:r w:rsidRPr="00146D9C">
              <w:rPr>
                <w:rFonts w:ascii="メイリオ" w:eastAsia="メイリオ" w:hAnsi="メイリオ" w:cs="メイリオ" w:hint="eastAsia"/>
                <w:b/>
                <w:sz w:val="22"/>
              </w:rPr>
              <w:t>備</w:t>
            </w:r>
          </w:p>
        </w:tc>
        <w:tc>
          <w:tcPr>
            <w:tcW w:w="14975" w:type="dxa"/>
            <w:gridSpan w:val="4"/>
          </w:tcPr>
          <w:p w:rsidR="00053A1B" w:rsidRPr="0057173F" w:rsidRDefault="00053A1B" w:rsidP="003955AF">
            <w:pPr>
              <w:spacing w:line="300" w:lineRule="exact"/>
              <w:jc w:val="left"/>
              <w:rPr>
                <w:rFonts w:ascii="メイリオ" w:eastAsia="メイリオ" w:hAnsi="メイリオ" w:cs="メイリオ"/>
                <w:b/>
                <w:sz w:val="28"/>
                <w:szCs w:val="28"/>
              </w:rPr>
            </w:pPr>
            <w:r>
              <w:rPr>
                <w:rFonts w:ascii="メイリオ" w:eastAsia="メイリオ" w:hAnsi="メイリオ" w:cs="メイリオ" w:hint="eastAsia"/>
                <w:sz w:val="24"/>
                <w:szCs w:val="24"/>
              </w:rPr>
              <w:t>＊</w:t>
            </w:r>
            <w:r>
              <w:rPr>
                <w:rFonts w:ascii="メイリオ" w:eastAsia="メイリオ" w:hAnsi="メイリオ" w:cs="メイリオ" w:hint="eastAsia"/>
                <w:sz w:val="22"/>
              </w:rPr>
              <w:t>⑨⑩⑪どういった環境への配慮が必要かを検討</w:t>
            </w:r>
            <w:r w:rsidR="00146D9C">
              <w:rPr>
                <w:rFonts w:ascii="メイリオ" w:eastAsia="メイリオ" w:hAnsi="メイリオ" w:cs="メイリオ" w:hint="eastAsia"/>
                <w:sz w:val="22"/>
              </w:rPr>
              <w:t>する。</w:t>
            </w:r>
          </w:p>
        </w:tc>
      </w:tr>
      <w:tr w:rsidR="00053A1B" w:rsidTr="003955AF">
        <w:trPr>
          <w:trHeight w:val="1702"/>
        </w:trPr>
        <w:tc>
          <w:tcPr>
            <w:tcW w:w="602" w:type="dxa"/>
            <w:vMerge/>
          </w:tcPr>
          <w:p w:rsidR="00053A1B" w:rsidRDefault="00053A1B" w:rsidP="003955AF">
            <w:pPr>
              <w:spacing w:line="300" w:lineRule="exact"/>
              <w:jc w:val="left"/>
              <w:rPr>
                <w:rFonts w:ascii="メイリオ" w:eastAsia="メイリオ" w:hAnsi="メイリオ" w:cs="メイリオ"/>
                <w:sz w:val="24"/>
                <w:szCs w:val="24"/>
              </w:rPr>
            </w:pPr>
          </w:p>
        </w:tc>
        <w:tc>
          <w:tcPr>
            <w:tcW w:w="4785" w:type="dxa"/>
          </w:tcPr>
          <w:p w:rsidR="00053A1B" w:rsidRPr="00FB4648" w:rsidRDefault="00053A1B" w:rsidP="003955AF">
            <w:pPr>
              <w:spacing w:line="300" w:lineRule="exact"/>
              <w:jc w:val="left"/>
              <w:rPr>
                <w:rFonts w:ascii="メイリオ" w:eastAsia="メイリオ" w:hAnsi="メイリオ" w:cs="メイリオ"/>
                <w:sz w:val="22"/>
                <w:szCs w:val="24"/>
              </w:rPr>
            </w:pPr>
            <w:r w:rsidRPr="00FB4648">
              <w:rPr>
                <w:rFonts w:ascii="メイリオ" w:eastAsia="メイリオ" w:hAnsi="メイリオ" w:cs="メイリオ" w:hint="eastAsia"/>
                <w:sz w:val="22"/>
                <w:szCs w:val="24"/>
              </w:rPr>
              <w:t>⑨（３）－１　校内環境のバリアフリー化</w:t>
            </w:r>
          </w:p>
        </w:tc>
        <w:tc>
          <w:tcPr>
            <w:tcW w:w="5229" w:type="dxa"/>
            <w:gridSpan w:val="2"/>
          </w:tcPr>
          <w:p w:rsidR="00053A1B" w:rsidRDefault="00053A1B" w:rsidP="00146D9C">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⑩（３）―２　発達、障害の状態及び特性等に応じた指導ができる施設・設備の配慮</w:t>
            </w:r>
          </w:p>
        </w:tc>
        <w:tc>
          <w:tcPr>
            <w:tcW w:w="4961" w:type="dxa"/>
          </w:tcPr>
          <w:p w:rsidR="00053A1B" w:rsidRPr="00D61393" w:rsidRDefault="00053A1B" w:rsidP="003955AF">
            <w:pPr>
              <w:spacing w:line="300" w:lineRule="exact"/>
              <w:jc w:val="left"/>
              <w:rPr>
                <w:rFonts w:ascii="メイリオ" w:eastAsia="メイリオ" w:hAnsi="メイリオ" w:cs="メイリオ"/>
                <w:sz w:val="24"/>
                <w:szCs w:val="24"/>
              </w:rPr>
            </w:pPr>
            <w:r w:rsidRPr="00FB4648">
              <w:rPr>
                <w:rFonts w:ascii="メイリオ" w:eastAsia="メイリオ" w:hAnsi="メイリオ" w:cs="メイリオ" w:hint="eastAsia"/>
                <w:sz w:val="22"/>
                <w:szCs w:val="24"/>
              </w:rPr>
              <w:t>⑪（３）―３　災害時等への対応に必要な施設・設備の配慮</w:t>
            </w:r>
          </w:p>
        </w:tc>
      </w:tr>
    </w:tbl>
    <w:p w:rsidR="00012092" w:rsidRPr="003955AF" w:rsidRDefault="00FB4648" w:rsidP="003955AF">
      <w:pPr>
        <w:rPr>
          <w:sz w:val="4"/>
          <w:szCs w:val="4"/>
        </w:rPr>
      </w:pPr>
      <w:r>
        <w:rPr>
          <w:rFonts w:hint="eastAsia"/>
          <w:noProof/>
          <w:sz w:val="48"/>
          <w:szCs w:val="48"/>
        </w:rPr>
        <mc:AlternateContent>
          <mc:Choice Requires="wps">
            <w:drawing>
              <wp:anchor distT="0" distB="0" distL="114300" distR="114300" simplePos="0" relativeHeight="251662336" behindDoc="0" locked="0" layoutInCell="1" allowOverlap="1" wp14:anchorId="36EA0E89" wp14:editId="4C3C6420">
                <wp:simplePos x="0" y="0"/>
                <wp:positionH relativeFrom="column">
                  <wp:posOffset>198755</wp:posOffset>
                </wp:positionH>
                <wp:positionV relativeFrom="paragraph">
                  <wp:posOffset>5561965</wp:posOffset>
                </wp:positionV>
                <wp:extent cx="6829425"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294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09E" w:rsidRPr="00241AFD" w:rsidRDefault="00A4509E" w:rsidP="00A4509E">
                            <w:pPr>
                              <w:spacing w:line="240" w:lineRule="exact"/>
                              <w:jc w:val="left"/>
                              <w:rPr>
                                <w:rFonts w:ascii="メイリオ" w:eastAsia="メイリオ" w:hAnsi="メイリオ" w:cs="メイリオ"/>
                                <w:color w:val="000000"/>
                                <w:sz w:val="20"/>
                                <w:szCs w:val="20"/>
                              </w:rPr>
                            </w:pPr>
                            <w:r w:rsidRPr="00C15B13">
                              <w:rPr>
                                <w:rFonts w:ascii="メイリオ" w:eastAsia="メイリオ" w:hAnsi="メイリオ" w:hint="eastAsia"/>
                              </w:rPr>
                              <w:t>参考：</w:t>
                            </w:r>
                            <w:r w:rsidRPr="00C15B13">
                              <w:rPr>
                                <w:rFonts w:ascii="メイリオ" w:eastAsia="メイリオ" w:hAnsi="メイリオ" w:cs="メイリオ" w:hint="eastAsia"/>
                                <w:color w:val="000000"/>
                                <w:sz w:val="20"/>
                                <w:szCs w:val="20"/>
                              </w:rPr>
                              <w:t>「教育支援</w:t>
                            </w:r>
                            <w:r>
                              <w:rPr>
                                <w:rFonts w:ascii="メイリオ" w:eastAsia="メイリオ" w:hAnsi="メイリオ" w:cs="メイリオ" w:hint="eastAsia"/>
                                <w:color w:val="000000"/>
                                <w:sz w:val="20"/>
                                <w:szCs w:val="20"/>
                              </w:rPr>
                              <w:t>資料</w:t>
                            </w:r>
                            <w:r w:rsidRPr="00D91B13">
                              <w:rPr>
                                <w:rFonts w:ascii="メイリオ" w:eastAsia="メイリオ" w:hAnsi="メイリオ" w:cs="メイリオ" w:hint="eastAsia"/>
                                <w:color w:val="000000"/>
                                <w:sz w:val="20"/>
                                <w:szCs w:val="20"/>
                              </w:rPr>
                              <w:t>～障害のある子供の就学手続と早期からの一貫した支援の充実～</w:t>
                            </w:r>
                            <w:r>
                              <w:rPr>
                                <w:rFonts w:ascii="メイリオ" w:eastAsia="メイリオ" w:hAnsi="メイリオ" w:cs="メイリオ" w:hint="eastAsia"/>
                                <w:color w:val="000000"/>
                                <w:sz w:val="20"/>
                                <w:szCs w:val="20"/>
                              </w:rPr>
                              <w:t>」文部科学省（</w:t>
                            </w:r>
                            <w:r w:rsidR="00C15B13">
                              <w:rPr>
                                <w:rFonts w:ascii="メイリオ" w:eastAsia="メイリオ" w:hAnsi="メイリオ" w:cs="メイリオ"/>
                                <w:color w:val="000000"/>
                                <w:sz w:val="20"/>
                                <w:szCs w:val="20"/>
                              </w:rPr>
                              <w:t>H</w:t>
                            </w:r>
                            <w:r w:rsidR="00C15B13">
                              <w:rPr>
                                <w:rFonts w:ascii="メイリオ" w:eastAsia="メイリオ" w:hAnsi="メイリオ" w:cs="メイリオ" w:hint="eastAsia"/>
                                <w:color w:val="000000"/>
                                <w:sz w:val="20"/>
                                <w:szCs w:val="20"/>
                              </w:rPr>
                              <w:t>25</w:t>
                            </w:r>
                            <w:r w:rsidR="00C15B13">
                              <w:rPr>
                                <w:rFonts w:ascii="メイリオ" w:eastAsia="メイリオ" w:hAnsi="メイリオ" w:cs="メイリオ"/>
                                <w:color w:val="000000"/>
                                <w:sz w:val="20"/>
                                <w:szCs w:val="20"/>
                              </w:rPr>
                              <w:t>．</w:t>
                            </w:r>
                            <w:r w:rsidR="00C15B13">
                              <w:rPr>
                                <w:rFonts w:ascii="メイリオ" w:eastAsia="メイリオ" w:hAnsi="メイリオ" w:cs="メイリオ" w:hint="eastAsia"/>
                                <w:color w:val="000000"/>
                                <w:sz w:val="20"/>
                                <w:szCs w:val="20"/>
                              </w:rPr>
                              <w:t>10</w:t>
                            </w:r>
                            <w:bookmarkStart w:id="0" w:name="_GoBack"/>
                            <w:bookmarkEnd w:id="0"/>
                            <w:r>
                              <w:rPr>
                                <w:rFonts w:ascii="メイリオ" w:eastAsia="メイリオ" w:hAnsi="メイリオ" w:cs="メイリオ"/>
                                <w:color w:val="000000"/>
                                <w:sz w:val="20"/>
                                <w:szCs w:val="20"/>
                              </w:rPr>
                              <w:t>）</w:t>
                            </w:r>
                          </w:p>
                          <w:p w:rsidR="00A4509E" w:rsidRDefault="00A45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EA0E89" id="テキスト ボックス 1" o:spid="_x0000_s1027" type="#_x0000_t202" style="position:absolute;left:0;text-align:left;margin-left:15.65pt;margin-top:437.95pt;width:537.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" filled="f" stroked="f" strokeweight=".5pt">
                <v:textbox>
                  <w:txbxContent>
                    <w:p w:rsidR="00A4509E" w:rsidRPr="00241AFD" w:rsidRDefault="00A4509E" w:rsidP="00A4509E">
                      <w:pPr>
                        <w:spacing w:line="240" w:lineRule="exact"/>
                        <w:jc w:val="left"/>
                        <w:rPr>
                          <w:rFonts w:ascii="メイリオ" w:eastAsia="メイリオ" w:hAnsi="メイリオ" w:cs="メイリオ"/>
                          <w:color w:val="000000"/>
                          <w:sz w:val="20"/>
                          <w:szCs w:val="20"/>
                        </w:rPr>
                      </w:pPr>
                      <w:r w:rsidRPr="00C15B13">
                        <w:rPr>
                          <w:rFonts w:ascii="メイリオ" w:eastAsia="メイリオ" w:hAnsi="メイリオ" w:hint="eastAsia"/>
                        </w:rPr>
                        <w:t>参考：</w:t>
                      </w:r>
                      <w:r w:rsidRPr="00C15B13">
                        <w:rPr>
                          <w:rFonts w:ascii="メイリオ" w:eastAsia="メイリオ" w:hAnsi="メイリオ" w:cs="メイリオ" w:hint="eastAsia"/>
                          <w:color w:val="000000"/>
                          <w:sz w:val="20"/>
                          <w:szCs w:val="20"/>
                        </w:rPr>
                        <w:t>「教育支援</w:t>
                      </w:r>
                      <w:r>
                        <w:rPr>
                          <w:rFonts w:ascii="メイリオ" w:eastAsia="メイリオ" w:hAnsi="メイリオ" w:cs="メイリオ" w:hint="eastAsia"/>
                          <w:color w:val="000000"/>
                          <w:sz w:val="20"/>
                          <w:szCs w:val="20"/>
                        </w:rPr>
                        <w:t>資料</w:t>
                      </w:r>
                      <w:r w:rsidRPr="00D91B13">
                        <w:rPr>
                          <w:rFonts w:ascii="メイリオ" w:eastAsia="メイリオ" w:hAnsi="メイリオ" w:cs="メイリオ" w:hint="eastAsia"/>
                          <w:color w:val="000000"/>
                          <w:sz w:val="20"/>
                          <w:szCs w:val="20"/>
                        </w:rPr>
                        <w:t>～障害のある子供の就学手続と早期からの一貫した支援の充実～</w:t>
                      </w:r>
                      <w:r>
                        <w:rPr>
                          <w:rFonts w:ascii="メイリオ" w:eastAsia="メイリオ" w:hAnsi="メイリオ" w:cs="メイリオ" w:hint="eastAsia"/>
                          <w:color w:val="000000"/>
                          <w:sz w:val="20"/>
                          <w:szCs w:val="20"/>
                        </w:rPr>
                        <w:t>」文部科学省（</w:t>
                      </w:r>
                      <w:r w:rsidR="00C15B13">
                        <w:rPr>
                          <w:rFonts w:ascii="メイリオ" w:eastAsia="メイリオ" w:hAnsi="メイリオ" w:cs="メイリオ"/>
                          <w:color w:val="000000"/>
                          <w:sz w:val="20"/>
                          <w:szCs w:val="20"/>
                        </w:rPr>
                        <w:t>H</w:t>
                      </w:r>
                      <w:r w:rsidR="00C15B13">
                        <w:rPr>
                          <w:rFonts w:ascii="メイリオ" w:eastAsia="メイリオ" w:hAnsi="メイリオ" w:cs="メイリオ" w:hint="eastAsia"/>
                          <w:color w:val="000000"/>
                          <w:sz w:val="20"/>
                          <w:szCs w:val="20"/>
                        </w:rPr>
                        <w:t>25</w:t>
                      </w:r>
                      <w:r w:rsidR="00C15B13">
                        <w:rPr>
                          <w:rFonts w:ascii="メイリオ" w:eastAsia="メイリオ" w:hAnsi="メイリオ" w:cs="メイリオ"/>
                          <w:color w:val="000000"/>
                          <w:sz w:val="20"/>
                          <w:szCs w:val="20"/>
                        </w:rPr>
                        <w:t>．</w:t>
                      </w:r>
                      <w:r w:rsidR="00C15B13">
                        <w:rPr>
                          <w:rFonts w:ascii="メイリオ" w:eastAsia="メイリオ" w:hAnsi="メイリオ" w:cs="メイリオ" w:hint="eastAsia"/>
                          <w:color w:val="000000"/>
                          <w:sz w:val="20"/>
                          <w:szCs w:val="20"/>
                        </w:rPr>
                        <w:t>10</w:t>
                      </w:r>
                      <w:bookmarkStart w:id="1" w:name="_GoBack"/>
                      <w:bookmarkEnd w:id="1"/>
                      <w:r>
                        <w:rPr>
                          <w:rFonts w:ascii="メイリオ" w:eastAsia="メイリオ" w:hAnsi="メイリオ" w:cs="メイリオ"/>
                          <w:color w:val="000000"/>
                          <w:sz w:val="20"/>
                          <w:szCs w:val="20"/>
                        </w:rPr>
                        <w:t>）</w:t>
                      </w:r>
                    </w:p>
                    <w:p w:rsidR="00A4509E" w:rsidRDefault="00A4509E"/>
                  </w:txbxContent>
                </v:textbox>
              </v:shape>
            </w:pict>
          </mc:Fallback>
        </mc:AlternateContent>
      </w:r>
      <w:r w:rsidR="003955AF">
        <w:rPr>
          <w:rFonts w:hint="eastAsia"/>
          <w:noProof/>
          <w:sz w:val="48"/>
          <w:szCs w:val="48"/>
        </w:rPr>
        <mc:AlternateContent>
          <mc:Choice Requires="wps">
            <w:drawing>
              <wp:anchor distT="0" distB="0" distL="114300" distR="114300" simplePos="0" relativeHeight="251661312" behindDoc="0" locked="0" layoutInCell="1" allowOverlap="1" wp14:anchorId="47EB6825" wp14:editId="2D073FF0">
                <wp:simplePos x="0" y="0"/>
                <wp:positionH relativeFrom="column">
                  <wp:posOffset>208280</wp:posOffset>
                </wp:positionH>
                <wp:positionV relativeFrom="paragraph">
                  <wp:posOffset>5933440</wp:posOffset>
                </wp:positionV>
                <wp:extent cx="9906000" cy="3810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9906000" cy="381000"/>
                        </a:xfrm>
                        <a:prstGeom prst="rect">
                          <a:avLst/>
                        </a:prstGeom>
                        <a:solidFill>
                          <a:srgbClr val="FFFF99"/>
                        </a:solidFill>
                        <a:ln w="6350">
                          <a:solidFill>
                            <a:prstClr val="black"/>
                          </a:solidFill>
                        </a:ln>
                        <a:effectLst/>
                      </wps:spPr>
                      <wps:txbx>
                        <w:txbxContent>
                          <w:p w:rsidR="003955AF" w:rsidRPr="00334A1C" w:rsidRDefault="00375534" w:rsidP="003955AF">
                            <w:pPr>
                              <w:spacing w:line="500" w:lineRule="exact"/>
                              <w:jc w:val="center"/>
                              <w:rPr>
                                <w:rFonts w:ascii="メイリオ" w:eastAsia="メイリオ" w:hAnsi="メイリオ" w:cs="メイリオ"/>
                                <w:color w:val="000000" w:themeColor="text1"/>
                                <w:sz w:val="36"/>
                                <w:szCs w:val="36"/>
                              </w:rPr>
                            </w:pPr>
                            <w:r>
                              <w:rPr>
                                <w:rFonts w:ascii="メイリオ" w:eastAsia="メイリオ" w:hAnsi="メイリオ" w:cs="メイリオ" w:hint="eastAsia"/>
                                <w:color w:val="000000" w:themeColor="text1"/>
                                <w:sz w:val="36"/>
                                <w:szCs w:val="36"/>
                              </w:rPr>
                              <w:t>最後に、特に優先</w:t>
                            </w:r>
                            <w:r w:rsidR="00146D9C">
                              <w:rPr>
                                <w:rFonts w:ascii="メイリオ" w:eastAsia="メイリオ" w:hAnsi="メイリオ" w:cs="メイリオ" w:hint="eastAsia"/>
                                <w:color w:val="000000" w:themeColor="text1"/>
                                <w:sz w:val="36"/>
                                <w:szCs w:val="36"/>
                              </w:rPr>
                              <w:t>される</w:t>
                            </w:r>
                            <w:r>
                              <w:rPr>
                                <w:rFonts w:ascii="メイリオ" w:eastAsia="メイリオ" w:hAnsi="メイリオ" w:cs="メイリオ" w:hint="eastAsia"/>
                                <w:color w:val="000000" w:themeColor="text1"/>
                                <w:sz w:val="36"/>
                                <w:szCs w:val="36"/>
                              </w:rPr>
                              <w:t>事項を確認し、明日からの取り組みを共有しましょう。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B6825" id="テキスト ボックス 3" o:spid="_x0000_s1028" type="#_x0000_t202" style="position:absolute;left:0;text-align:left;margin-left:16.4pt;margin-top:467.2pt;width:780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" fillcolor="#ff9" strokeweight=".5pt">
                <v:textbox>
                  <w:txbxContent>
                    <w:p w:rsidR="003955AF" w:rsidRPr="00334A1C" w:rsidRDefault="00375534" w:rsidP="003955AF">
                      <w:pPr>
                        <w:spacing w:line="500" w:lineRule="exact"/>
                        <w:jc w:val="center"/>
                        <w:rPr>
                          <w:rFonts w:ascii="メイリオ" w:eastAsia="メイリオ" w:hAnsi="メイリオ" w:cs="メイリオ"/>
                          <w:color w:val="000000" w:themeColor="text1"/>
                          <w:sz w:val="36"/>
                          <w:szCs w:val="36"/>
                        </w:rPr>
                      </w:pPr>
                      <w:r>
                        <w:rPr>
                          <w:rFonts w:ascii="メイリオ" w:eastAsia="メイリオ" w:hAnsi="メイリオ" w:cs="メイリオ" w:hint="eastAsia"/>
                          <w:color w:val="000000" w:themeColor="text1"/>
                          <w:sz w:val="36"/>
                          <w:szCs w:val="36"/>
                        </w:rPr>
                        <w:t>最後に、特に優先</w:t>
                      </w:r>
                      <w:r w:rsidR="00146D9C">
                        <w:rPr>
                          <w:rFonts w:ascii="メイリオ" w:eastAsia="メイリオ" w:hAnsi="メイリオ" w:cs="メイリオ" w:hint="eastAsia"/>
                          <w:color w:val="000000" w:themeColor="text1"/>
                          <w:sz w:val="36"/>
                          <w:szCs w:val="36"/>
                        </w:rPr>
                        <w:t>される</w:t>
                      </w:r>
                      <w:r>
                        <w:rPr>
                          <w:rFonts w:ascii="メイリオ" w:eastAsia="メイリオ" w:hAnsi="メイリオ" w:cs="メイリオ" w:hint="eastAsia"/>
                          <w:color w:val="000000" w:themeColor="text1"/>
                          <w:sz w:val="36"/>
                          <w:szCs w:val="36"/>
                        </w:rPr>
                        <w:t>事項を確認し、明日からの取り組みを共有しましょう。</w:t>
                      </w:r>
                    </w:p>
                  </w:txbxContent>
                </v:textbox>
              </v:shape>
            </w:pict>
          </mc:Fallback>
        </mc:AlternateContent>
      </w:r>
    </w:p>
    <w:sectPr w:rsidR="00012092" w:rsidRPr="003955AF" w:rsidSect="003955AF">
      <w:headerReference w:type="default" r:id="rId7"/>
      <w:pgSz w:w="16838" w:h="11906" w:orient="landscape"/>
      <w:pgMar w:top="510" w:right="289" w:bottom="510" w:left="22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AE7" w:rsidRDefault="00EE5AE7" w:rsidP="00EE5F02">
      <w:r>
        <w:separator/>
      </w:r>
    </w:p>
  </w:endnote>
  <w:endnote w:type="continuationSeparator" w:id="0">
    <w:p w:rsidR="00EE5AE7" w:rsidRDefault="00EE5AE7"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AE7" w:rsidRDefault="00EE5AE7" w:rsidP="00EE5F02">
      <w:r>
        <w:separator/>
      </w:r>
    </w:p>
  </w:footnote>
  <w:footnote w:type="continuationSeparator" w:id="0">
    <w:p w:rsidR="00EE5AE7" w:rsidRDefault="00EE5AE7" w:rsidP="00EE5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011" w:rsidRDefault="00401011" w:rsidP="00401011">
    <w:pPr>
      <w:pStyle w:val="a7"/>
      <w:spacing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24"/>
    <w:rsid w:val="000035BF"/>
    <w:rsid w:val="0000589F"/>
    <w:rsid w:val="0001160B"/>
    <w:rsid w:val="00012092"/>
    <w:rsid w:val="00012EF7"/>
    <w:rsid w:val="00017CF4"/>
    <w:rsid w:val="00031FFF"/>
    <w:rsid w:val="00037609"/>
    <w:rsid w:val="0004331C"/>
    <w:rsid w:val="00053A1B"/>
    <w:rsid w:val="00055025"/>
    <w:rsid w:val="0005527F"/>
    <w:rsid w:val="00055C81"/>
    <w:rsid w:val="000570BB"/>
    <w:rsid w:val="00084BA0"/>
    <w:rsid w:val="0008709C"/>
    <w:rsid w:val="000918DA"/>
    <w:rsid w:val="00097D4C"/>
    <w:rsid w:val="000D13CB"/>
    <w:rsid w:val="000E44BD"/>
    <w:rsid w:val="000E570E"/>
    <w:rsid w:val="000F4024"/>
    <w:rsid w:val="000F65C2"/>
    <w:rsid w:val="0010051F"/>
    <w:rsid w:val="00110215"/>
    <w:rsid w:val="001344CE"/>
    <w:rsid w:val="00146D9C"/>
    <w:rsid w:val="0015381D"/>
    <w:rsid w:val="00157FE0"/>
    <w:rsid w:val="00164417"/>
    <w:rsid w:val="00177E49"/>
    <w:rsid w:val="00186E2B"/>
    <w:rsid w:val="001921DE"/>
    <w:rsid w:val="001A08E0"/>
    <w:rsid w:val="001B6EE0"/>
    <w:rsid w:val="001C7A13"/>
    <w:rsid w:val="001D54FF"/>
    <w:rsid w:val="001E6848"/>
    <w:rsid w:val="001F061A"/>
    <w:rsid w:val="001F498B"/>
    <w:rsid w:val="00202BD4"/>
    <w:rsid w:val="00215472"/>
    <w:rsid w:val="0026699D"/>
    <w:rsid w:val="002723A9"/>
    <w:rsid w:val="00273FBC"/>
    <w:rsid w:val="002A0BCE"/>
    <w:rsid w:val="002B1DC1"/>
    <w:rsid w:val="002C208D"/>
    <w:rsid w:val="002D0C81"/>
    <w:rsid w:val="002E4E97"/>
    <w:rsid w:val="002F1690"/>
    <w:rsid w:val="002F1F4F"/>
    <w:rsid w:val="00302F8B"/>
    <w:rsid w:val="00305A72"/>
    <w:rsid w:val="00314D3B"/>
    <w:rsid w:val="00317DCC"/>
    <w:rsid w:val="003220E0"/>
    <w:rsid w:val="00330503"/>
    <w:rsid w:val="00332E32"/>
    <w:rsid w:val="00334A1C"/>
    <w:rsid w:val="00344634"/>
    <w:rsid w:val="00363594"/>
    <w:rsid w:val="00363999"/>
    <w:rsid w:val="00375534"/>
    <w:rsid w:val="003864F1"/>
    <w:rsid w:val="003955AF"/>
    <w:rsid w:val="003B3C0F"/>
    <w:rsid w:val="003E5306"/>
    <w:rsid w:val="003E6586"/>
    <w:rsid w:val="003F42E7"/>
    <w:rsid w:val="00401011"/>
    <w:rsid w:val="00402586"/>
    <w:rsid w:val="0040296F"/>
    <w:rsid w:val="004057D1"/>
    <w:rsid w:val="004117AE"/>
    <w:rsid w:val="0041431F"/>
    <w:rsid w:val="004225EE"/>
    <w:rsid w:val="004247A2"/>
    <w:rsid w:val="0043039F"/>
    <w:rsid w:val="0045247D"/>
    <w:rsid w:val="0046024F"/>
    <w:rsid w:val="00462704"/>
    <w:rsid w:val="00463287"/>
    <w:rsid w:val="00470CD4"/>
    <w:rsid w:val="0047245B"/>
    <w:rsid w:val="00477D4C"/>
    <w:rsid w:val="004A3CB8"/>
    <w:rsid w:val="004C3E5D"/>
    <w:rsid w:val="004C65BD"/>
    <w:rsid w:val="00503698"/>
    <w:rsid w:val="005221A8"/>
    <w:rsid w:val="00546A8B"/>
    <w:rsid w:val="00551233"/>
    <w:rsid w:val="0055574F"/>
    <w:rsid w:val="00561821"/>
    <w:rsid w:val="0057173F"/>
    <w:rsid w:val="0058514B"/>
    <w:rsid w:val="00593743"/>
    <w:rsid w:val="005969B6"/>
    <w:rsid w:val="005A0C82"/>
    <w:rsid w:val="005D1BDA"/>
    <w:rsid w:val="005D2FB7"/>
    <w:rsid w:val="005E4C04"/>
    <w:rsid w:val="005E6DA1"/>
    <w:rsid w:val="005F5D82"/>
    <w:rsid w:val="005F6CEB"/>
    <w:rsid w:val="00606AC3"/>
    <w:rsid w:val="00606F63"/>
    <w:rsid w:val="006361F8"/>
    <w:rsid w:val="00651F17"/>
    <w:rsid w:val="00665CD8"/>
    <w:rsid w:val="00677C9F"/>
    <w:rsid w:val="006A13B0"/>
    <w:rsid w:val="006A3DAE"/>
    <w:rsid w:val="006B05F6"/>
    <w:rsid w:val="006C37A8"/>
    <w:rsid w:val="006C543E"/>
    <w:rsid w:val="006D3FB4"/>
    <w:rsid w:val="006E0444"/>
    <w:rsid w:val="006F0812"/>
    <w:rsid w:val="006F31F2"/>
    <w:rsid w:val="0070065C"/>
    <w:rsid w:val="00704785"/>
    <w:rsid w:val="007270DF"/>
    <w:rsid w:val="00735547"/>
    <w:rsid w:val="00737254"/>
    <w:rsid w:val="007432EA"/>
    <w:rsid w:val="00750125"/>
    <w:rsid w:val="00761592"/>
    <w:rsid w:val="00791430"/>
    <w:rsid w:val="007A204D"/>
    <w:rsid w:val="007B4827"/>
    <w:rsid w:val="007B5CB4"/>
    <w:rsid w:val="007C1EF2"/>
    <w:rsid w:val="007C274A"/>
    <w:rsid w:val="007D18EC"/>
    <w:rsid w:val="007D1F5B"/>
    <w:rsid w:val="007E11E4"/>
    <w:rsid w:val="007E360A"/>
    <w:rsid w:val="007F76CA"/>
    <w:rsid w:val="00800D9F"/>
    <w:rsid w:val="00805999"/>
    <w:rsid w:val="00810785"/>
    <w:rsid w:val="00834908"/>
    <w:rsid w:val="00840E02"/>
    <w:rsid w:val="00843762"/>
    <w:rsid w:val="0086212C"/>
    <w:rsid w:val="0086233D"/>
    <w:rsid w:val="00864E12"/>
    <w:rsid w:val="008652E6"/>
    <w:rsid w:val="0087377E"/>
    <w:rsid w:val="0087465E"/>
    <w:rsid w:val="00882BC7"/>
    <w:rsid w:val="008838A5"/>
    <w:rsid w:val="00895684"/>
    <w:rsid w:val="008B50CA"/>
    <w:rsid w:val="008B760B"/>
    <w:rsid w:val="008C0B67"/>
    <w:rsid w:val="008C0D75"/>
    <w:rsid w:val="008C609A"/>
    <w:rsid w:val="008D2E3F"/>
    <w:rsid w:val="008F5005"/>
    <w:rsid w:val="008F6F5D"/>
    <w:rsid w:val="009108FF"/>
    <w:rsid w:val="009153C8"/>
    <w:rsid w:val="00921DBA"/>
    <w:rsid w:val="009310BC"/>
    <w:rsid w:val="0093441D"/>
    <w:rsid w:val="009505D5"/>
    <w:rsid w:val="0095141C"/>
    <w:rsid w:val="009525EF"/>
    <w:rsid w:val="00980A5D"/>
    <w:rsid w:val="009847D9"/>
    <w:rsid w:val="00990663"/>
    <w:rsid w:val="00992D6C"/>
    <w:rsid w:val="009A3304"/>
    <w:rsid w:val="009C2058"/>
    <w:rsid w:val="009F0D23"/>
    <w:rsid w:val="009F309E"/>
    <w:rsid w:val="009F6889"/>
    <w:rsid w:val="00A11B0C"/>
    <w:rsid w:val="00A13432"/>
    <w:rsid w:val="00A263B6"/>
    <w:rsid w:val="00A37F37"/>
    <w:rsid w:val="00A4509E"/>
    <w:rsid w:val="00A647C3"/>
    <w:rsid w:val="00A8368A"/>
    <w:rsid w:val="00A869D0"/>
    <w:rsid w:val="00A86A52"/>
    <w:rsid w:val="00A86F24"/>
    <w:rsid w:val="00A97D93"/>
    <w:rsid w:val="00AA2968"/>
    <w:rsid w:val="00AA5672"/>
    <w:rsid w:val="00AB1BA7"/>
    <w:rsid w:val="00AB1E37"/>
    <w:rsid w:val="00AB78C3"/>
    <w:rsid w:val="00AF4277"/>
    <w:rsid w:val="00B12520"/>
    <w:rsid w:val="00B247C3"/>
    <w:rsid w:val="00B24AEC"/>
    <w:rsid w:val="00B32210"/>
    <w:rsid w:val="00B55CF0"/>
    <w:rsid w:val="00B760C7"/>
    <w:rsid w:val="00B94AB9"/>
    <w:rsid w:val="00B95AC5"/>
    <w:rsid w:val="00BB19E3"/>
    <w:rsid w:val="00BB3160"/>
    <w:rsid w:val="00BD1242"/>
    <w:rsid w:val="00BD53CD"/>
    <w:rsid w:val="00BD7D23"/>
    <w:rsid w:val="00BE49FF"/>
    <w:rsid w:val="00BF2E64"/>
    <w:rsid w:val="00BF4843"/>
    <w:rsid w:val="00C02190"/>
    <w:rsid w:val="00C1128D"/>
    <w:rsid w:val="00C149B3"/>
    <w:rsid w:val="00C15B13"/>
    <w:rsid w:val="00C164F6"/>
    <w:rsid w:val="00C362CD"/>
    <w:rsid w:val="00C3693B"/>
    <w:rsid w:val="00C375F3"/>
    <w:rsid w:val="00C43D80"/>
    <w:rsid w:val="00C45475"/>
    <w:rsid w:val="00C638A8"/>
    <w:rsid w:val="00C67190"/>
    <w:rsid w:val="00C70A23"/>
    <w:rsid w:val="00CB0A0A"/>
    <w:rsid w:val="00CE2058"/>
    <w:rsid w:val="00CF5315"/>
    <w:rsid w:val="00D07BE8"/>
    <w:rsid w:val="00D14A44"/>
    <w:rsid w:val="00D24D9C"/>
    <w:rsid w:val="00D42CC2"/>
    <w:rsid w:val="00D45D25"/>
    <w:rsid w:val="00D47000"/>
    <w:rsid w:val="00D5671B"/>
    <w:rsid w:val="00D60820"/>
    <w:rsid w:val="00D61393"/>
    <w:rsid w:val="00D707F6"/>
    <w:rsid w:val="00D92851"/>
    <w:rsid w:val="00D933A7"/>
    <w:rsid w:val="00DA3365"/>
    <w:rsid w:val="00DA4108"/>
    <w:rsid w:val="00DC729C"/>
    <w:rsid w:val="00DD0CD1"/>
    <w:rsid w:val="00DD1F3D"/>
    <w:rsid w:val="00DE4FFD"/>
    <w:rsid w:val="00E25D36"/>
    <w:rsid w:val="00E27647"/>
    <w:rsid w:val="00E340CB"/>
    <w:rsid w:val="00E374E9"/>
    <w:rsid w:val="00E40FE3"/>
    <w:rsid w:val="00E4116D"/>
    <w:rsid w:val="00E71335"/>
    <w:rsid w:val="00E727BF"/>
    <w:rsid w:val="00E835ED"/>
    <w:rsid w:val="00E87944"/>
    <w:rsid w:val="00EA394F"/>
    <w:rsid w:val="00EA69F9"/>
    <w:rsid w:val="00EC5219"/>
    <w:rsid w:val="00ED35F0"/>
    <w:rsid w:val="00ED6206"/>
    <w:rsid w:val="00EE5AE7"/>
    <w:rsid w:val="00EE5F02"/>
    <w:rsid w:val="00EE6F0E"/>
    <w:rsid w:val="00F05381"/>
    <w:rsid w:val="00F32C30"/>
    <w:rsid w:val="00F33A2F"/>
    <w:rsid w:val="00F37A4D"/>
    <w:rsid w:val="00F4374E"/>
    <w:rsid w:val="00F53572"/>
    <w:rsid w:val="00F53D98"/>
    <w:rsid w:val="00F5510C"/>
    <w:rsid w:val="00F8527D"/>
    <w:rsid w:val="00F8789B"/>
    <w:rsid w:val="00FB03B5"/>
    <w:rsid w:val="00FB4648"/>
    <w:rsid w:val="00FC197E"/>
    <w:rsid w:val="00FC6FD3"/>
    <w:rsid w:val="00FD002B"/>
    <w:rsid w:val="00FD1BEC"/>
    <w:rsid w:val="00FD2424"/>
    <w:rsid w:val="00FE3C8A"/>
    <w:rsid w:val="00FE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055DC7-0EDB-4B92-87FE-C3D7B0FB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3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8527D"/>
    <w:pPr>
      <w:widowControl w:val="0"/>
      <w:jc w:val="both"/>
    </w:pPr>
  </w:style>
  <w:style w:type="paragraph" w:styleId="Web">
    <w:name w:val="Normal (Web)"/>
    <w:basedOn w:val="a"/>
    <w:uiPriority w:val="99"/>
    <w:unhideWhenUsed/>
    <w:rsid w:val="00C369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0AE1-B4B0-4630-8CF8-A156414F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Ⅲ―１一人一人の特性等に応じた必要な指導や支援のために　☆①情報補助資料</vt:lpstr>
    </vt:vector>
  </TitlesOfParts>
  <Company>Toshiba</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Ⅲ―１一人一人の特性等に応じた必要な指導や支援のために　☆①情報補助資料</dc:title>
  <dc:creator>nemoto</dc:creator>
  <cp:lastModifiedBy>owner</cp:lastModifiedBy>
  <cp:revision>10</cp:revision>
  <cp:lastPrinted>2017-11-29T07:45:00Z</cp:lastPrinted>
  <dcterms:created xsi:type="dcterms:W3CDTF">2018-01-10T01:39:00Z</dcterms:created>
  <dcterms:modified xsi:type="dcterms:W3CDTF">2018-02-02T21:42:00Z</dcterms:modified>
</cp:coreProperties>
</file>