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rsidTr="00EB4C2A">
        <w:trPr>
          <w:trHeight w:val="556"/>
        </w:trPr>
        <w:tc>
          <w:tcPr>
            <w:tcW w:w="1276" w:type="dxa"/>
            <w:vAlign w:val="center"/>
          </w:tcPr>
          <w:p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rsidR="00781B64" w:rsidRDefault="00781B64" w:rsidP="00781B64">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32F713E4" wp14:editId="4BC2D82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0CEC726C" wp14:editId="65EE4990">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0768" behindDoc="0" locked="0" layoutInCell="1" allowOverlap="1" wp14:anchorId="0188F93A" wp14:editId="7ECDC65C">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1792" behindDoc="0" locked="0" layoutInCell="1" allowOverlap="1" wp14:anchorId="373FC2A4" wp14:editId="241ADF54">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4864" behindDoc="0" locked="0" layoutInCell="1" allowOverlap="1" wp14:anchorId="35F65383" wp14:editId="45EE92B2">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3840" behindDoc="0" locked="0" layoutInCell="1" allowOverlap="1" wp14:anchorId="6C7E82CA" wp14:editId="4C6C6E34">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2206BC">
              <w:rPr>
                <w:rFonts w:ascii="ＭＳ 明朝" w:hAnsi="ＭＳ 明朝" w:hint="eastAsia"/>
                <w:color w:val="000000" w:themeColor="text1"/>
                <w:sz w:val="27"/>
                <w:szCs w:val="27"/>
              </w:rPr>
              <w:t>□□□□□□□□□□□□□□□□□□</w:t>
            </w:r>
          </w:p>
          <w:p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rsidTr="00EB4C2A">
        <w:trPr>
          <w:trHeight w:val="227"/>
        </w:trPr>
        <w:tc>
          <w:tcPr>
            <w:tcW w:w="1276" w:type="dxa"/>
            <w:vAlign w:val="center"/>
          </w:tcPr>
          <w:p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center"/>
          </w:tcPr>
          <w:p w:rsidR="00A326BD" w:rsidRDefault="00A326BD" w:rsidP="00936DD1">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">
                <v:shapetype id="_x0000_t202" coordsize="21600,21600" o:spt="202" path="m,l,21600r21600,l21600,xe">
                  <v:stroke joinstyle="miter"/>
                  <v:path gradientshapeok="t" o:connecttype="rect"/>
                </v:shapetype>
                <v:shape id="Text Box 3" o:sp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Text Box 3" o:sp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6"/>
              </w:rPr>
              <w:t>超える時間</w:t>
            </w:r>
            <w:r w:rsidRPr="00E1796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7"/>
              </w:rPr>
              <w:t>超える時間</w:t>
            </w:r>
            <w:r w:rsidRPr="00E1796A">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8"/>
              </w:rPr>
              <w:t>超える時間</w:t>
            </w:r>
            <w:r w:rsidRPr="00E1796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9"/>
              </w:rPr>
              <w:t>超える時間</w:t>
            </w:r>
            <w:r w:rsidRPr="00E1796A">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80"/>
              </w:rPr>
              <w:t>超える時間</w:t>
            </w:r>
            <w:r w:rsidRPr="00E1796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81"/>
              </w:rPr>
              <w:t>超える時間</w:t>
            </w:r>
            <w:r w:rsidRPr="00E1796A">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9D3F2A">
        <w:trPr>
          <w:trHeight w:val="340"/>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4A036F">
              <w:rPr>
                <w:rFonts w:ascii="ＭＳ 明朝" w:hAnsi="ＭＳ 明朝" w:hint="eastAsia"/>
                <w:spacing w:val="53"/>
                <w:kern w:val="0"/>
                <w:fitText w:val="1760" w:id="1756222209"/>
              </w:rPr>
              <w:t>法定休日の日</w:t>
            </w:r>
            <w:r w:rsidRPr="004A036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0633A1">
              <w:rPr>
                <w:rFonts w:ascii="ＭＳ 明朝" w:hAnsi="ＭＳ 明朝" w:hint="eastAsia"/>
                <w:spacing w:val="2"/>
                <w:w w:val="86"/>
                <w:kern w:val="0"/>
                <w:fitText w:val="2080" w:id="1756222720"/>
              </w:rPr>
              <w:t>休日における始業及び終業の時</w:t>
            </w:r>
            <w:r w:rsidRPr="000633A1">
              <w:rPr>
                <w:rFonts w:ascii="ＭＳ 明朝" w:hAnsi="ＭＳ 明朝" w:hint="eastAsia"/>
                <w:spacing w:val="-8"/>
                <w:w w:val="86"/>
                <w:kern w:val="0"/>
                <w:fitText w:val="2080" w:id="1756222720"/>
              </w:rPr>
              <w:t>刻</w:t>
            </w: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896231" w:rsidRPr="00E64B29" w:rsidRDefault="009D3F2A" w:rsidP="009D3F2A">
      <w:pPr>
        <w:rPr>
          <w:rFonts w:ascii="ＭＳ 明朝" w:hAnsi="ＭＳ 明朝"/>
        </w:rPr>
      </w:pPr>
      <w:r>
        <w:rPr>
          <w:rFonts w:ascii="ＭＳ 明朝" w:hAnsi="ＭＳ 明朝" w:hint="eastAsia"/>
        </w:rPr>
        <w:t xml:space="preserve">　</w:t>
      </w:r>
      <w:r w:rsidR="00E40543"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rsidTr="00133A12">
        <w:trPr>
          <w:trHeight w:val="346"/>
        </w:trPr>
        <w:tc>
          <w:tcPr>
            <w:tcW w:w="8923"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287436"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287436">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287436">
        <w:rPr>
          <w:rFonts w:ascii="ＭＳ 明朝" w:hAnsi="ＭＳ 明朝" w:hint="eastAsia"/>
          <w:szCs w:val="16"/>
        </w:rPr>
        <w:t>上記協定の当事者である労働者の過半数を代表する者が事業場の全て</w:t>
      </w:r>
      <w:r w:rsidRPr="001D7B42">
        <w:rPr>
          <w:rFonts w:ascii="ＭＳ 明朝" w:hAnsi="ＭＳ 明朝" w:hint="eastAsia"/>
          <w:szCs w:val="16"/>
        </w:rPr>
        <w:t>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rsidR="00D5641B" w:rsidRPr="001D7B42" w:rsidRDefault="00D5641B" w:rsidP="00287436">
      <w:pPr>
        <w:wordWrap w:val="0"/>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r w:rsidR="00287436">
        <w:rPr>
          <w:rFonts w:ascii="ＭＳ 明朝" w:hAnsi="ＭＳ 明朝" w:hint="eastAsia"/>
          <w:szCs w:val="16"/>
        </w:rPr>
        <w:t xml:space="preserve">　　</w:t>
      </w:r>
    </w:p>
    <w:p w:rsidR="00287436" w:rsidRDefault="00D5641B" w:rsidP="002E0DB5">
      <w:pPr>
        <w:spacing w:line="240" w:lineRule="exact"/>
        <w:ind w:leftChars="88" w:left="141"/>
        <w:rPr>
          <w:rFonts w:ascii="ＭＳ 明朝" w:hAnsi="ＭＳ 明朝"/>
          <w:szCs w:val="16"/>
        </w:rPr>
      </w:pPr>
      <w:r w:rsidRPr="001D7B42">
        <w:rPr>
          <w:rFonts w:ascii="ＭＳ 明朝" w:hAnsi="ＭＳ 明朝" w:hint="eastAsia"/>
          <w:szCs w:val="16"/>
        </w:rPr>
        <w:t xml:space="preserve">　上記</w:t>
      </w:r>
      <w:r w:rsidR="00287436">
        <w:rPr>
          <w:rFonts w:ascii="ＭＳ 明朝" w:hAnsi="ＭＳ 明朝" w:hint="eastAsia"/>
          <w:szCs w:val="16"/>
        </w:rPr>
        <w:t>労働者の過半数を代表する</w:t>
      </w:r>
      <w:r w:rsidRPr="001D7B42">
        <w:rPr>
          <w:rFonts w:ascii="ＭＳ 明朝" w:hAnsi="ＭＳ 明朝" w:hint="eastAsia"/>
          <w:szCs w:val="16"/>
        </w:rPr>
        <w:t>者が</w:t>
      </w:r>
      <w:r w:rsidR="00287436">
        <w:rPr>
          <w:rFonts w:ascii="ＭＳ 明朝" w:hAnsi="ＭＳ 明朝" w:hint="eastAsia"/>
          <w:szCs w:val="16"/>
        </w:rPr>
        <w:t>、</w:t>
      </w:r>
      <w:r w:rsidRPr="001D7B42">
        <w:rPr>
          <w:rFonts w:ascii="ＭＳ 明朝" w:hAnsi="ＭＳ 明朝" w:hint="eastAsia"/>
          <w:szCs w:val="16"/>
        </w:rPr>
        <w:t>労働基準法第41条第2号</w:t>
      </w:r>
      <w:r w:rsidR="00287436">
        <w:rPr>
          <w:rFonts w:ascii="ＭＳ 明朝" w:hAnsi="ＭＳ 明朝" w:hint="eastAsia"/>
          <w:szCs w:val="16"/>
        </w:rPr>
        <w:t>に規定する</w:t>
      </w:r>
      <w:r w:rsidRPr="001D7B42">
        <w:rPr>
          <w:rFonts w:ascii="ＭＳ 明朝" w:hAnsi="ＭＳ 明朝" w:hint="eastAsia"/>
          <w:szCs w:val="16"/>
        </w:rPr>
        <w:t>監督又は管理の地位にある者でなく、</w:t>
      </w:r>
      <w:r w:rsidR="00287436">
        <w:rPr>
          <w:rFonts w:ascii="ＭＳ 明朝" w:hAnsi="ＭＳ 明朝" w:hint="eastAsia"/>
          <w:szCs w:val="16"/>
        </w:rPr>
        <w:t>かつ、同法に規定する協定等をする者を選出することを明らかにして実施される</w:t>
      </w:r>
      <w:r w:rsidRPr="001D7B42">
        <w:rPr>
          <w:rFonts w:ascii="ＭＳ 明朝" w:hAnsi="ＭＳ 明朝" w:hint="eastAsia"/>
          <w:szCs w:val="16"/>
        </w:rPr>
        <w:t>投票、挙手等の方法によ</w:t>
      </w:r>
    </w:p>
    <w:p w:rsidR="00D5641B" w:rsidRDefault="00287436" w:rsidP="002E0DB5">
      <w:pPr>
        <w:spacing w:line="240" w:lineRule="exact"/>
        <w:ind w:leftChars="88" w:left="141"/>
        <w:rPr>
          <w:rFonts w:ascii="ＭＳ 明朝" w:hAnsi="ＭＳ 明朝"/>
          <w:color w:val="FF0000"/>
          <w:szCs w:val="16"/>
          <w:highlight w:val="yellow"/>
        </w:rPr>
      </w:pPr>
      <w:r>
        <w:rPr>
          <w:rFonts w:ascii="ＭＳ 明朝" w:hAnsi="ＭＳ 明朝" w:hint="eastAsia"/>
          <w:szCs w:val="16"/>
        </w:rPr>
        <w:t>る手続により選出された者であつ</w:t>
      </w:r>
      <w:r w:rsidR="00D5641B"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00D5641B"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rsidTr="00FA64D4">
        <w:trPr>
          <w:trHeight w:val="346"/>
        </w:trPr>
        <w:tc>
          <w:tcPr>
            <w:tcW w:w="8923" w:type="dxa"/>
            <w:gridSpan w:val="4"/>
            <w:vAlign w:val="center"/>
          </w:tcPr>
          <w:p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rsidR="00896231" w:rsidRPr="00E64B29" w:rsidRDefault="00896231" w:rsidP="00AF2D24">
            <w:pPr>
              <w:spacing w:line="230" w:lineRule="exact"/>
              <w:jc w:val="right"/>
              <w:rPr>
                <w:rFonts w:ascii="ＭＳ 明朝" w:hAnsi="ＭＳ 明朝"/>
              </w:rPr>
            </w:pPr>
          </w:p>
        </w:tc>
      </w:tr>
      <w:tr w:rsidR="00FA64D4" w:rsidRPr="00FE77EE" w:rsidTr="00A866DE">
        <w:trPr>
          <w:gridBefore w:val="1"/>
          <w:gridAfter w:val="3"/>
          <w:wBefore w:w="985" w:type="dxa"/>
          <w:wAfter w:w="5067" w:type="dxa"/>
          <w:trHeight w:val="346"/>
        </w:trPr>
        <w:tc>
          <w:tcPr>
            <w:tcW w:w="1701" w:type="dxa"/>
            <w:tcBorders>
              <w:bottom w:val="dashSmallGap" w:sz="4" w:space="0" w:color="auto"/>
            </w:tcBorders>
            <w:vAlign w:val="center"/>
          </w:tcPr>
          <w:p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rsidR="007722EF" w:rsidRDefault="007722EF" w:rsidP="009D3F2A">
      <w:pPr>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rsidR="009D3F2A" w:rsidRDefault="009D3F2A" w:rsidP="009D3F2A">
      <w:pPr>
        <w:widowControl/>
        <w:jc w:val="left"/>
        <w:rPr>
          <w:rFonts w:ascii="ＭＳ 明朝" w:hAnsi="ＭＳ 明朝"/>
        </w:rPr>
      </w:pPr>
      <w:r>
        <w:rPr>
          <w:rFonts w:ascii="ＭＳ 明朝" w:hAnsi="ＭＳ 明朝" w:hint="eastAsia"/>
        </w:rPr>
        <w:lastRenderedPageBreak/>
        <w:t>様式第９号（</w:t>
      </w:r>
      <w:r w:rsidRPr="009B0111">
        <w:rPr>
          <w:rFonts w:ascii="ＭＳ 明朝" w:hAnsi="ＭＳ 明朝" w:hint="eastAsia"/>
          <w:color w:val="000000" w:themeColor="text1"/>
          <w:szCs w:val="18"/>
        </w:rPr>
        <w:t>第1</w:t>
      </w:r>
      <w:r w:rsidRPr="009B0111">
        <w:rPr>
          <w:rFonts w:ascii="ＭＳ 明朝" w:hAnsi="ＭＳ 明朝"/>
          <w:color w:val="000000" w:themeColor="text1"/>
          <w:szCs w:val="18"/>
        </w:rPr>
        <w:t>6</w:t>
      </w:r>
      <w:r w:rsidRPr="009B0111">
        <w:rPr>
          <w:rFonts w:ascii="ＭＳ 明朝" w:hAnsi="ＭＳ 明朝" w:hint="eastAsia"/>
          <w:color w:val="000000" w:themeColor="text1"/>
          <w:szCs w:val="18"/>
        </w:rPr>
        <w:t>条第１項</w:t>
      </w:r>
      <w:r w:rsidRPr="00F35925">
        <w:rPr>
          <w:rFonts w:ascii="ＭＳ 明朝" w:hAnsi="ＭＳ 明朝" w:hint="eastAsia"/>
          <w:color w:val="000000" w:themeColor="text1"/>
          <w:szCs w:val="18"/>
        </w:rPr>
        <w:t>関係</w:t>
      </w:r>
      <w:r w:rsidRPr="00CC58E8">
        <w:rPr>
          <w:rFonts w:ascii="ＭＳ 明朝" w:hAnsi="ＭＳ 明朝" w:hint="eastAsia"/>
        </w:rPr>
        <w:t>）（裏面）</w:t>
      </w:r>
    </w:p>
    <w:p w:rsidR="009D3F2A" w:rsidRPr="00E16CC3" w:rsidRDefault="009D3F2A" w:rsidP="009D3F2A">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Pr>
          <w:rFonts w:ascii="ＭＳ 明朝" w:hAnsi="ＭＳ 明朝" w:hint="eastAsia"/>
          <w:color w:val="000000" w:themeColor="text1"/>
        </w:rPr>
        <w:t>するに当たつては、業務の区分を細分化することにより当該</w:t>
      </w:r>
      <w:r w:rsidRPr="00E16CC3">
        <w:rPr>
          <w:rFonts w:ascii="ＭＳ 明朝" w:hAnsi="ＭＳ 明朝" w:hint="eastAsia"/>
          <w:color w:val="000000" w:themeColor="text1"/>
        </w:rPr>
        <w:t>業務の範囲を明確にしなければならないことに留意すること。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Pr="00E16CC3">
        <w:rPr>
          <w:rFonts w:ascii="ＭＳ 明朝" w:hAnsi="ＭＳ 明朝" w:hint="eastAsia"/>
          <w:color w:val="000000" w:themeColor="text1"/>
        </w:rPr>
        <w:t>満</w:t>
      </w:r>
      <w:r w:rsidRPr="00E16CC3">
        <w:rPr>
          <w:rFonts w:ascii="ＭＳ 明朝" w:hAnsi="ＭＳ 明朝"/>
          <w:color w:val="000000" w:themeColor="text1"/>
        </w:rPr>
        <w:t>18</w:t>
      </w:r>
      <w:r>
        <w:rPr>
          <w:rFonts w:ascii="ＭＳ 明朝" w:hAnsi="ＭＳ 明朝" w:hint="eastAsia"/>
          <w:color w:val="000000" w:themeColor="text1"/>
        </w:rPr>
        <w:t>歳以上の者）」</w:t>
      </w:r>
      <w:r w:rsidRPr="00E16CC3">
        <w:rPr>
          <w:rFonts w:ascii="ＭＳ 明朝" w:hAnsi="ＭＳ 明朝" w:hint="eastAsia"/>
          <w:color w:val="000000" w:themeColor="text1"/>
        </w:rPr>
        <w:t>の欄に</w:t>
      </w:r>
      <w:r>
        <w:rPr>
          <w:rFonts w:ascii="ＭＳ 明朝" w:hAnsi="ＭＳ 明朝" w:hint="eastAsia"/>
          <w:color w:val="000000" w:themeColor="text1"/>
        </w:rPr>
        <w:t>は、時間外労働又は休日労働をさせることができる労働者の数を</w:t>
      </w:r>
      <w:r w:rsidRPr="00E16CC3">
        <w:rPr>
          <w:rFonts w:ascii="ＭＳ 明朝" w:hAnsi="ＭＳ 明朝" w:hint="eastAsia"/>
          <w:color w:val="000000" w:themeColor="text1"/>
        </w:rPr>
        <w:t>記入すること。</w:t>
      </w:r>
    </w:p>
    <w:p w:rsidR="000633A1" w:rsidRPr="00E16CC3" w:rsidRDefault="000633A1" w:rsidP="000633A1">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Pr="004F0133">
        <w:rPr>
          <w:rFonts w:ascii="ＭＳ 明朝" w:hAnsi="ＭＳ 明朝" w:hint="eastAsia"/>
          <w:color w:val="000000" w:themeColor="text1"/>
        </w:rPr>
        <w:t>を平均して8</w:t>
      </w:r>
      <w:r w:rsidRPr="00E16CC3">
        <w:rPr>
          <w:rFonts w:ascii="ＭＳ 明朝" w:hAnsi="ＭＳ 明朝" w:hint="eastAsia"/>
          <w:color w:val="000000" w:themeColor="text1"/>
        </w:rPr>
        <w:t>0</w:t>
      </w:r>
      <w:r>
        <w:rPr>
          <w:rFonts w:ascii="ＭＳ 明朝" w:hAnsi="ＭＳ 明朝" w:hint="eastAsia"/>
          <w:color w:val="000000" w:themeColor="text1"/>
        </w:rPr>
        <w:t>時間を超えた場合には労働基準法違反（同</w:t>
      </w:r>
      <w:r w:rsidRPr="00E16CC3">
        <w:rPr>
          <w:rFonts w:ascii="ＭＳ 明朝" w:hAnsi="ＭＳ 明朝" w:hint="eastAsia"/>
          <w:color w:val="000000" w:themeColor="text1"/>
        </w:rPr>
        <w:t>法第119条の規定により６箇月以下の懲役又は30</w:t>
      </w:r>
      <w:r>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Pr="00E16CC3">
        <w:rPr>
          <w:rFonts w:ascii="ＭＳ 明朝" w:hAnsi="ＭＳ 明朝" w:hint="eastAsia"/>
          <w:color w:val="000000" w:themeColor="text1"/>
        </w:rPr>
        <w:t>「１日」の欄には、法定労働時間を超えて延長することができる時間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であつて、１日についての</w:t>
      </w:r>
      <w:r>
        <w:rPr>
          <w:rFonts w:ascii="ＭＳ 明朝" w:hAnsi="ＭＳ 明朝" w:hint="eastAsia"/>
          <w:color w:val="000000" w:themeColor="text1"/>
        </w:rPr>
        <w:t>延長することができる</w:t>
      </w:r>
      <w:r w:rsidRPr="00E16CC3">
        <w:rPr>
          <w:rFonts w:ascii="ＭＳ 明朝" w:hAnsi="ＭＳ 明朝" w:hint="eastAsia"/>
          <w:color w:val="000000" w:themeColor="text1"/>
        </w:rPr>
        <w:t>限度となる時間</w:t>
      </w:r>
      <w:r>
        <w:rPr>
          <w:rFonts w:ascii="ＭＳ 明朝" w:hAnsi="ＭＳ 明朝" w:hint="eastAsia"/>
          <w:color w:val="000000" w:themeColor="text1"/>
        </w:rPr>
        <w:t>数を記入すること。なお、所定労働時間を超える時間数についても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Pr="00E16CC3">
        <w:rPr>
          <w:rFonts w:ascii="ＭＳ 明朝" w:hAnsi="ＭＳ 明朝" w:hint="eastAsia"/>
          <w:color w:val="000000" w:themeColor="text1"/>
        </w:rPr>
        <w:t xml:space="preserve">　「１箇月」の欄には、法定労働時間を超えて延長することができる時間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を45</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変形労働時間制により労働する者については、42</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Pr="00E16CC3">
        <w:rPr>
          <w:rFonts w:ascii="ＭＳ 明朝" w:hAnsi="ＭＳ 明朝" w:hint="eastAsia"/>
          <w:color w:val="000000" w:themeColor="text1"/>
        </w:rPr>
        <w:t xml:space="preserve">　「１年」の欄には、法定労働時間を超えて延長することができる時間</w:t>
      </w:r>
      <w:r>
        <w:rPr>
          <w:rFonts w:ascii="ＭＳ 明朝" w:hAnsi="ＭＳ 明朝" w:hint="eastAsia"/>
          <w:color w:val="000000" w:themeColor="text1"/>
        </w:rPr>
        <w:t>数</w:t>
      </w:r>
      <w:r w:rsidRPr="00E16CC3">
        <w:rPr>
          <w:rFonts w:ascii="ＭＳ 明朝" w:hAnsi="ＭＳ 明朝" w:hint="eastAsia"/>
          <w:color w:val="000000" w:themeColor="text1"/>
        </w:rPr>
        <w:t>であつて、「起算日」において定める日から１年についての延長することができる限度となる時間</w:t>
      </w:r>
      <w:r>
        <w:rPr>
          <w:rFonts w:ascii="ＭＳ 明朝" w:hAnsi="ＭＳ 明朝" w:hint="eastAsia"/>
          <w:color w:val="000000" w:themeColor="text1"/>
        </w:rPr>
        <w:t>数</w:t>
      </w:r>
      <w:r w:rsidRPr="00E16CC3">
        <w:rPr>
          <w:rFonts w:ascii="ＭＳ 明朝" w:hAnsi="ＭＳ 明朝" w:hint="eastAsia"/>
          <w:color w:val="000000" w:themeColor="text1"/>
        </w:rPr>
        <w:t>を360</w:t>
      </w:r>
      <w:r>
        <w:rPr>
          <w:rFonts w:ascii="ＭＳ 明朝" w:hAnsi="ＭＳ 明朝" w:hint="eastAsia"/>
          <w:color w:val="000000" w:themeColor="text1"/>
        </w:rPr>
        <w:t>時間（</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変形労働時間制により労働する者については、320</w:t>
      </w:r>
      <w:r>
        <w:rPr>
          <w:rFonts w:ascii="ＭＳ 明朝" w:hAnsi="ＭＳ 明朝" w:hint="eastAsia"/>
          <w:color w:val="000000" w:themeColor="text1"/>
        </w:rPr>
        <w:t>時間）</w:t>
      </w:r>
      <w:r w:rsidRPr="00E16CC3">
        <w:rPr>
          <w:rFonts w:ascii="ＭＳ 明朝" w:hAnsi="ＭＳ 明朝" w:hint="eastAsia"/>
          <w:color w:val="000000" w:themeColor="text1"/>
        </w:rPr>
        <w:t>の範囲内で記入すること。なお、所定労働時間を超える時間数</w:t>
      </w:r>
      <w:r>
        <w:rPr>
          <w:rFonts w:ascii="ＭＳ 明朝" w:hAnsi="ＭＳ 明朝" w:hint="eastAsia"/>
          <w:color w:val="000000" w:themeColor="text1"/>
        </w:rPr>
        <w:t>についても</w:t>
      </w:r>
      <w:r w:rsidRPr="00E16CC3">
        <w:rPr>
          <w:rFonts w:ascii="ＭＳ 明朝" w:hAnsi="ＭＳ 明朝" w:hint="eastAsia"/>
          <w:color w:val="000000" w:themeColor="text1"/>
        </w:rPr>
        <w:t>協定する場合においては、所定労働時間を超える時間数を併せて記入することができる。</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４　</w:t>
      </w:r>
      <w:r w:rsidRPr="00E16CC3">
        <w:rPr>
          <w:rFonts w:ascii="ＭＳ 明朝" w:hAnsi="ＭＳ 明朝" w:hint="eastAsia"/>
          <w:color w:val="000000" w:themeColor="text1"/>
        </w:rPr>
        <w:t>②の欄は、労働基準法第32</w:t>
      </w:r>
      <w:r>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５　</w:t>
      </w:r>
      <w:r w:rsidRPr="00E16CC3">
        <w:rPr>
          <w:rFonts w:ascii="ＭＳ 明朝" w:hAnsi="ＭＳ 明朝" w:hint="eastAsia"/>
          <w:color w:val="000000" w:themeColor="text1"/>
        </w:rPr>
        <w:t>「労働させることができる法定休日の日数」の欄には、労働基準法第35</w:t>
      </w:r>
      <w:r>
        <w:rPr>
          <w:rFonts w:ascii="ＭＳ 明朝" w:hAnsi="ＭＳ 明朝" w:hint="eastAsia"/>
          <w:color w:val="000000" w:themeColor="text1"/>
        </w:rPr>
        <w:t>条の規定による休日（１週１休又は４週４休であることに留意すること。）</w:t>
      </w:r>
      <w:r w:rsidRPr="00E16CC3">
        <w:rPr>
          <w:rFonts w:ascii="ＭＳ 明朝" w:hAnsi="ＭＳ 明朝" w:hint="eastAsia"/>
          <w:color w:val="000000" w:themeColor="text1"/>
        </w:rPr>
        <w:t>に労働させることができる日数を記入すること。</w:t>
      </w:r>
    </w:p>
    <w:p w:rsidR="000633A1" w:rsidRPr="00E16CC3"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６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rsidR="000633A1" w:rsidRPr="001F3837"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７　</w:t>
      </w:r>
      <w:r w:rsidRPr="00E16CC3">
        <w:rPr>
          <w:rFonts w:ascii="ＭＳ 明朝" w:hAnsi="ＭＳ 明朝" w:hint="eastAsia"/>
          <w:color w:val="000000" w:themeColor="text1"/>
        </w:rPr>
        <w:t>労働基準法第36</w:t>
      </w:r>
      <w:r>
        <w:rPr>
          <w:rFonts w:ascii="ＭＳ 明朝" w:hAnsi="ＭＳ 明朝" w:hint="eastAsia"/>
          <w:color w:val="000000" w:themeColor="text1"/>
        </w:rPr>
        <w:t>条第６項第２号及び第３号の要件を遵守する趣旨のチェックボックスについて、「２箇月から６箇月まで」</w:t>
      </w:r>
      <w:r w:rsidRPr="00E16CC3">
        <w:rPr>
          <w:rFonts w:ascii="ＭＳ 明朝" w:hAnsi="ＭＳ 明朝" w:hint="eastAsia"/>
          <w:color w:val="000000" w:themeColor="text1"/>
        </w:rPr>
        <w:t>とは、起算日をまたぐケースも含め、連続した２箇月から６箇月までの期</w:t>
      </w:r>
      <w:r>
        <w:rPr>
          <w:rFonts w:ascii="ＭＳ 明朝" w:hAnsi="ＭＳ 明朝" w:hint="eastAsia"/>
          <w:color w:val="000000" w:themeColor="text1"/>
        </w:rPr>
        <w:t>間を指すことに留意すること。</w:t>
      </w:r>
      <w:r w:rsidRPr="001F3837">
        <w:rPr>
          <w:rFonts w:ascii="ＭＳ 明朝" w:hAnsi="ＭＳ 明朝" w:hint="eastAsia"/>
          <w:color w:val="000000" w:themeColor="text1"/>
        </w:rPr>
        <w:t>また、チェックボックスにチェックがない場合には有効な協定とはならないことに留意すること。</w:t>
      </w:r>
    </w:p>
    <w:p w:rsidR="000633A1" w:rsidRPr="00007218" w:rsidRDefault="000633A1" w:rsidP="000633A1">
      <w:pPr>
        <w:pStyle w:val="2"/>
        <w:ind w:leftChars="50" w:left="240" w:hangingChars="100" w:hanging="160"/>
        <w:rPr>
          <w:rFonts w:ascii="ＭＳ 明朝" w:hAnsi="ＭＳ 明朝"/>
        </w:rPr>
      </w:pPr>
      <w:r w:rsidRPr="001F3837">
        <w:rPr>
          <w:rFonts w:ascii="ＭＳ 明朝" w:hAnsi="ＭＳ 明朝" w:hint="eastAsia"/>
          <w:color w:val="000000" w:themeColor="text1"/>
        </w:rPr>
        <w:t>８　協定については、労働者の過半数で組織する労働組合</w:t>
      </w:r>
      <w:r>
        <w:rPr>
          <w:rFonts w:ascii="ＭＳ 明朝" w:hAnsi="ＭＳ 明朝" w:hint="eastAsia"/>
          <w:color w:val="000000" w:themeColor="text1"/>
        </w:rPr>
        <w:t>がある場合はその労働組合と、労働者の過半数で組織する労働組合がな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r w:rsidRPr="00007218">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rsidR="000633A1" w:rsidRDefault="000633A1" w:rsidP="000633A1">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９　本様式をもつて協定とする場合においても、協定の当事者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w:t>
      </w:r>
      <w:r>
        <w:rPr>
          <w:rFonts w:ascii="ＭＳ 明朝" w:hAnsi="ＭＳ 明朝"/>
        </w:rPr>
        <w:t>上</w:t>
      </w:r>
      <w:r>
        <w:rPr>
          <w:rFonts w:ascii="ＭＳ 明朝" w:hAnsi="ＭＳ 明朝" w:hint="eastAsia"/>
        </w:rPr>
        <w:t>明らかとなるような方法により締結するよう留意すること。</w:t>
      </w:r>
    </w:p>
    <w:p w:rsidR="000633A1" w:rsidRDefault="000633A1" w:rsidP="000633A1">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 xml:space="preserve">10　</w:t>
      </w:r>
      <w:r w:rsidRPr="00CC58E8">
        <w:rPr>
          <w:rFonts w:ascii="ＭＳ 明朝" w:hAnsi="ＭＳ 明朝" w:hint="eastAsia"/>
          <w:color w:val="000000" w:themeColor="text1"/>
        </w:rPr>
        <w:t>本様式で記入</w:t>
      </w:r>
      <w:r>
        <w:rPr>
          <w:rFonts w:ascii="ＭＳ 明朝" w:hAnsi="ＭＳ 明朝" w:hint="eastAsia"/>
          <w:color w:val="000000" w:themeColor="text1"/>
        </w:rPr>
        <w:t>部分が足りない場合は同一様式を使用すること</w:t>
      </w:r>
      <w:r w:rsidRPr="00CC58E8">
        <w:rPr>
          <w:rFonts w:ascii="ＭＳ 明朝" w:hAnsi="ＭＳ 明朝" w:hint="eastAsia"/>
          <w:color w:val="000000" w:themeColor="text1"/>
        </w:rPr>
        <w:t>。この場合、必要のある事項のみ記入することで差し支えない。</w:t>
      </w:r>
    </w:p>
    <w:p w:rsidR="000633A1" w:rsidRPr="00C73848" w:rsidRDefault="000633A1" w:rsidP="000633A1">
      <w:pPr>
        <w:pStyle w:val="2"/>
        <w:ind w:leftChars="50" w:left="240" w:hangingChars="100" w:hanging="160"/>
        <w:rPr>
          <w:rFonts w:ascii="ＭＳ 明朝" w:hAnsi="ＭＳ 明朝"/>
          <w:color w:val="000000" w:themeColor="text1"/>
        </w:rPr>
      </w:pPr>
    </w:p>
    <w:p w:rsidR="000633A1" w:rsidRPr="00E16CC3" w:rsidRDefault="000633A1" w:rsidP="000633A1">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0633A1" w:rsidRPr="00E16CC3" w:rsidRDefault="000633A1" w:rsidP="000633A1">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Pr>
          <w:rFonts w:ascii="ＭＳ 明朝" w:hAnsi="ＭＳ 明朝" w:hint="eastAsia"/>
          <w:color w:val="000000" w:themeColor="text1"/>
        </w:rPr>
        <w:t>ることとし、本様式中「協定」とあるのは「労使委員会の決議」と、「協定の当事者である労働組合」</w:t>
      </w:r>
      <w:r w:rsidRPr="00E16CC3">
        <w:rPr>
          <w:rFonts w:ascii="ＭＳ 明朝" w:hAnsi="ＭＳ 明朝" w:hint="eastAsia"/>
          <w:color w:val="000000" w:themeColor="text1"/>
        </w:rPr>
        <w:t>とあるの</w:t>
      </w:r>
      <w:r>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Pr>
          <w:rFonts w:ascii="ＭＳ 明朝" w:hAnsi="ＭＳ 明朝" w:hint="eastAsia"/>
          <w:color w:val="000000" w:themeColor="text1"/>
        </w:rPr>
        <w:t>者の場合）の選出方法」と読み替えるものとする。なお、</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れた委員とその他の委員とで区別することとし、任期を定めて指名され</w:t>
      </w:r>
      <w:r w:rsidRPr="00E16CC3">
        <w:rPr>
          <w:rFonts w:ascii="ＭＳ 明朝" w:hAnsi="ＭＳ 明朝" w:hint="eastAsia"/>
          <w:color w:val="000000" w:themeColor="text1"/>
        </w:rPr>
        <w:t>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同条</w:t>
      </w:r>
      <w:r w:rsidRPr="00E16CC3">
        <w:rPr>
          <w:rFonts w:ascii="ＭＳ 明朝" w:hAnsi="ＭＳ 明朝" w:hint="eastAsia"/>
          <w:color w:val="000000" w:themeColor="text1"/>
        </w:rPr>
        <w:t>第</w:t>
      </w:r>
      <w:r>
        <w:rPr>
          <w:rFonts w:ascii="ＭＳ 明朝" w:hAnsi="ＭＳ 明朝" w:hint="eastAsia"/>
          <w:color w:val="000000" w:themeColor="text1"/>
        </w:rPr>
        <w:t>２</w:t>
      </w:r>
      <w:r w:rsidRPr="00E16CC3">
        <w:rPr>
          <w:rFonts w:ascii="ＭＳ 明朝" w:hAnsi="ＭＳ 明朝" w:hint="eastAsia"/>
          <w:color w:val="000000" w:themeColor="text1"/>
        </w:rPr>
        <w:t>項第</w:t>
      </w:r>
      <w:r>
        <w:rPr>
          <w:rFonts w:ascii="ＭＳ 明朝" w:hAnsi="ＭＳ 明朝" w:hint="eastAsia"/>
          <w:color w:val="000000" w:themeColor="text1"/>
        </w:rPr>
        <w:t>１号の規定により、労働者の過半数で組織する労働組合がある場合においてはその労働組合、労働者の過半数で組織する労働組合がな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rsidR="000633A1" w:rsidRPr="00E16CC3" w:rsidRDefault="000633A1" w:rsidP="000633A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Pr>
          <w:rFonts w:ascii="ＭＳ 明朝" w:hAnsi="ＭＳ 明朝" w:hint="eastAsia"/>
          <w:color w:val="000000" w:themeColor="text1"/>
        </w:rPr>
        <w:t>号の規定により、労働者の過半数で組織する労働組合がある場合においてはその労働組合、労働者の過半数で組織する労働組合がな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rsidR="00A7338B" w:rsidRPr="000633A1" w:rsidRDefault="00A7338B" w:rsidP="009D3F2A">
      <w:pPr>
        <w:tabs>
          <w:tab w:val="left" w:pos="8000"/>
        </w:tabs>
        <w:rPr>
          <w:rFonts w:ascii="ＭＳ 明朝" w:hAnsi="ＭＳ 明朝"/>
        </w:rPr>
      </w:pPr>
      <w:bookmarkStart w:id="0" w:name="_GoBack"/>
      <w:bookmarkEnd w:id="0"/>
    </w:p>
    <w:sectPr w:rsidR="00A7338B" w:rsidRPr="000633A1" w:rsidSect="007021D2">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C5" w:rsidRDefault="00171DC5" w:rsidP="00B820D5">
      <w:r>
        <w:separator/>
      </w:r>
    </w:p>
  </w:endnote>
  <w:endnote w:type="continuationSeparator" w:id="0">
    <w:p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C5" w:rsidRDefault="00171DC5" w:rsidP="00B820D5">
      <w:r>
        <w:separator/>
      </w:r>
    </w:p>
  </w:footnote>
  <w:footnote w:type="continuationSeparator" w:id="0">
    <w:p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4EA5-95F6-4787-AEA0-505DE4DA91FF}">
  <ds:schemaRefs>
    <ds:schemaRef ds:uri="http://schemas.openxmlformats.org/officeDocument/2006/bibliography"/>
  </ds:schemaRefs>
</ds:datastoreItem>
</file>